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Extensible.xml" ContentType="application/vnd.openxmlformats-officedocument.wordprocessingml.commentsExtensi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636"/>
      </w:tblGrid>
      <w:tr w:rsidR="001C1FE3" w:rsidRPr="007E6CFA" w14:paraId="74AEB70A" w14:textId="77777777" w:rsidTr="00F20AC2">
        <w:tc>
          <w:tcPr>
            <w:tcW w:w="4788" w:type="dxa"/>
          </w:tcPr>
          <w:p w14:paraId="74AEB708" w14:textId="77777777" w:rsidR="001C1FE3" w:rsidRPr="007E6CFA" w:rsidRDefault="00234A13" w:rsidP="00F20AC2">
            <w:pPr>
              <w:rPr>
                <w:rFonts w:ascii="Franklin Gothic Book" w:hAnsi="Franklin Gothic Book"/>
              </w:rPr>
            </w:pPr>
            <w:r w:rsidRPr="007E6CFA">
              <w:rPr>
                <w:rFonts w:ascii="Franklin Gothic Book" w:hAnsi="Franklin Gothic Book"/>
                <w:noProof/>
              </w:rPr>
              <w:drawing>
                <wp:inline distT="0" distB="0" distL="0" distR="0" wp14:anchorId="74AEB72F" wp14:editId="74AEB730">
                  <wp:extent cx="2286000" cy="735676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SVU Logo 2016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735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74AEB709" w14:textId="77777777" w:rsidR="001C1FE3" w:rsidRPr="007E6CFA" w:rsidRDefault="00E517C0" w:rsidP="00F20AC2">
            <w:pPr>
              <w:jc w:val="right"/>
              <w:rPr>
                <w:rFonts w:ascii="Franklin Gothic Book" w:hAnsi="Franklin Gothic Book"/>
                <w:b/>
                <w:sz w:val="44"/>
                <w:szCs w:val="44"/>
              </w:rPr>
            </w:pPr>
            <w:r w:rsidRPr="007E6CFA">
              <w:rPr>
                <w:rFonts w:ascii="Franklin Gothic Book" w:hAnsi="Franklin Gothic Book"/>
                <w:b/>
                <w:sz w:val="44"/>
                <w:szCs w:val="44"/>
              </w:rPr>
              <w:t>Committee on Research and Publications</w:t>
            </w:r>
          </w:p>
        </w:tc>
      </w:tr>
    </w:tbl>
    <w:p w14:paraId="74AEB70B" w14:textId="77777777" w:rsidR="001C1FE3" w:rsidRPr="007E6CFA" w:rsidRDefault="001C1FE3" w:rsidP="001C1FE3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14:paraId="74AEB70C" w14:textId="77777777" w:rsidR="001C1FE3" w:rsidRPr="007E6CFA" w:rsidRDefault="007875BF" w:rsidP="001C1FE3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7E6CFA">
        <w:rPr>
          <w:rFonts w:ascii="Franklin Gothic Book" w:hAnsi="Franklin Gothic Book"/>
          <w:b/>
          <w:sz w:val="28"/>
          <w:szCs w:val="24"/>
        </w:rPr>
        <w:t>CRP Standard Operating Guidelines and 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7026"/>
      </w:tblGrid>
      <w:tr w:rsidR="001C1FE3" w:rsidRPr="007E6CFA" w14:paraId="74AEB70F" w14:textId="77777777">
        <w:tc>
          <w:tcPr>
            <w:tcW w:w="2358" w:type="dxa"/>
          </w:tcPr>
          <w:p w14:paraId="74AEB70D" w14:textId="77777777" w:rsidR="001C1FE3" w:rsidRPr="007E6CFA" w:rsidRDefault="00E517C0" w:rsidP="00C142DD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7E6CFA">
              <w:rPr>
                <w:rFonts w:ascii="Franklin Gothic Book" w:hAnsi="Franklin Gothic Book" w:cs="Arial"/>
                <w:sz w:val="24"/>
                <w:szCs w:val="24"/>
              </w:rPr>
              <w:t>DOC</w:t>
            </w:r>
            <w:r w:rsidR="001C1FE3" w:rsidRPr="007E6CFA">
              <w:rPr>
                <w:rFonts w:ascii="Franklin Gothic Book" w:hAnsi="Franklin Gothic Book" w:cs="Arial"/>
                <w:sz w:val="24"/>
                <w:szCs w:val="24"/>
              </w:rPr>
              <w:t xml:space="preserve"> #</w:t>
            </w:r>
          </w:p>
        </w:tc>
        <w:tc>
          <w:tcPr>
            <w:tcW w:w="7200" w:type="dxa"/>
          </w:tcPr>
          <w:p w14:paraId="74AEB70E" w14:textId="40D40C0F" w:rsidR="001C1FE3" w:rsidRPr="007E6CFA" w:rsidRDefault="00E517C0" w:rsidP="007875BF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7E6CFA">
              <w:rPr>
                <w:rFonts w:ascii="Franklin Gothic Book" w:hAnsi="Franklin Gothic Book" w:cs="Arial"/>
                <w:sz w:val="24"/>
                <w:szCs w:val="24"/>
              </w:rPr>
              <w:t>CR</w:t>
            </w:r>
            <w:r w:rsidR="007E6486" w:rsidRPr="007E6CFA">
              <w:rPr>
                <w:rFonts w:ascii="Franklin Gothic Book" w:hAnsi="Franklin Gothic Book" w:cs="Arial"/>
                <w:sz w:val="24"/>
                <w:szCs w:val="24"/>
              </w:rPr>
              <w:t>P</w:t>
            </w:r>
            <w:r w:rsidR="007875BF" w:rsidRPr="007E6CFA">
              <w:rPr>
                <w:rFonts w:ascii="Franklin Gothic Book" w:hAnsi="Franklin Gothic Book" w:cs="Arial"/>
                <w:sz w:val="24"/>
                <w:szCs w:val="24"/>
              </w:rPr>
              <w:t>.SOP.0</w:t>
            </w:r>
            <w:r w:rsidR="007E6CFA" w:rsidRPr="007E6CFA">
              <w:rPr>
                <w:rFonts w:ascii="Franklin Gothic Book" w:hAnsi="Franklin Gothic Book" w:cs="Arial"/>
                <w:sz w:val="24"/>
                <w:szCs w:val="24"/>
              </w:rPr>
              <w:t>12</w:t>
            </w:r>
          </w:p>
        </w:tc>
      </w:tr>
      <w:tr w:rsidR="001C1FE3" w:rsidRPr="007E6CFA" w14:paraId="74AEB712" w14:textId="77777777">
        <w:tc>
          <w:tcPr>
            <w:tcW w:w="2358" w:type="dxa"/>
          </w:tcPr>
          <w:p w14:paraId="74AEB710" w14:textId="77777777" w:rsidR="001C1FE3" w:rsidRPr="007E6CFA" w:rsidRDefault="001C1FE3" w:rsidP="00C142DD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7E6CFA">
              <w:rPr>
                <w:rFonts w:ascii="Franklin Gothic Book" w:hAnsi="Franklin Gothic Book" w:cs="Arial"/>
                <w:sz w:val="24"/>
                <w:szCs w:val="24"/>
              </w:rPr>
              <w:t>Title</w:t>
            </w:r>
          </w:p>
        </w:tc>
        <w:tc>
          <w:tcPr>
            <w:tcW w:w="7200" w:type="dxa"/>
          </w:tcPr>
          <w:p w14:paraId="74AEB711" w14:textId="6693E834" w:rsidR="001C1FE3" w:rsidRPr="007E6CFA" w:rsidRDefault="007E6CFA" w:rsidP="00763ADA">
            <w:pPr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7E6CFA">
              <w:rPr>
                <w:rFonts w:ascii="Franklin Gothic Book" w:hAnsi="Franklin Gothic Book" w:cs="Arial"/>
                <w:b/>
                <w:sz w:val="24"/>
                <w:szCs w:val="24"/>
              </w:rPr>
              <w:t>Appeals</w:t>
            </w:r>
          </w:p>
        </w:tc>
      </w:tr>
      <w:tr w:rsidR="003243A7" w:rsidRPr="007E6CFA" w14:paraId="74AEB715" w14:textId="77777777">
        <w:tc>
          <w:tcPr>
            <w:tcW w:w="2358" w:type="dxa"/>
          </w:tcPr>
          <w:p w14:paraId="74AEB713" w14:textId="77777777" w:rsidR="003243A7" w:rsidRPr="007E6CFA" w:rsidRDefault="003243A7" w:rsidP="00C142DD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7E6CFA">
              <w:rPr>
                <w:rFonts w:ascii="Franklin Gothic Book" w:hAnsi="Franklin Gothic Book" w:cs="Arial"/>
                <w:sz w:val="24"/>
                <w:szCs w:val="24"/>
              </w:rPr>
              <w:t>Document Type</w:t>
            </w:r>
          </w:p>
        </w:tc>
        <w:tc>
          <w:tcPr>
            <w:tcW w:w="7200" w:type="dxa"/>
          </w:tcPr>
          <w:p w14:paraId="74AEB714" w14:textId="6C62946D" w:rsidR="003243A7" w:rsidRPr="007E6CFA" w:rsidRDefault="007E6CFA" w:rsidP="00F973C8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7E6CFA">
              <w:rPr>
                <w:rFonts w:ascii="Franklin Gothic Book" w:hAnsi="Franklin Gothic Book"/>
                <w:sz w:val="24"/>
                <w:szCs w:val="24"/>
              </w:rPr>
              <w:t>Procedure</w:t>
            </w:r>
          </w:p>
        </w:tc>
      </w:tr>
      <w:tr w:rsidR="001C1FE3" w:rsidRPr="007E6CFA" w14:paraId="74AEB718" w14:textId="77777777">
        <w:tc>
          <w:tcPr>
            <w:tcW w:w="2358" w:type="dxa"/>
          </w:tcPr>
          <w:p w14:paraId="74AEB716" w14:textId="77777777" w:rsidR="001C1FE3" w:rsidRPr="007E6CFA" w:rsidRDefault="001C1FE3" w:rsidP="00C142DD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7E6CFA">
              <w:rPr>
                <w:rFonts w:ascii="Franklin Gothic Book" w:hAnsi="Franklin Gothic Book" w:cs="Arial"/>
                <w:sz w:val="24"/>
                <w:szCs w:val="24"/>
              </w:rPr>
              <w:t>Effective Date</w:t>
            </w:r>
          </w:p>
        </w:tc>
        <w:tc>
          <w:tcPr>
            <w:tcW w:w="7200" w:type="dxa"/>
          </w:tcPr>
          <w:p w14:paraId="74AEB717" w14:textId="3280B1FC" w:rsidR="001C1FE3" w:rsidRPr="007E6CFA" w:rsidRDefault="00126177" w:rsidP="008327B4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July 1, 2022</w:t>
            </w:r>
          </w:p>
        </w:tc>
      </w:tr>
      <w:tr w:rsidR="001C1FE3" w:rsidRPr="007E6CFA" w14:paraId="74AEB71B" w14:textId="77777777">
        <w:tc>
          <w:tcPr>
            <w:tcW w:w="2358" w:type="dxa"/>
          </w:tcPr>
          <w:p w14:paraId="74AEB719" w14:textId="77777777" w:rsidR="001C1FE3" w:rsidRPr="007E6CFA" w:rsidRDefault="001C1FE3" w:rsidP="00C142DD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7E6CFA">
              <w:rPr>
                <w:rFonts w:ascii="Franklin Gothic Book" w:hAnsi="Franklin Gothic Book" w:cs="Arial"/>
                <w:sz w:val="24"/>
                <w:szCs w:val="24"/>
              </w:rPr>
              <w:t>Version</w:t>
            </w:r>
          </w:p>
        </w:tc>
        <w:tc>
          <w:tcPr>
            <w:tcW w:w="7200" w:type="dxa"/>
          </w:tcPr>
          <w:p w14:paraId="74AEB71A" w14:textId="77D8500D" w:rsidR="001C1FE3" w:rsidRPr="007E6CFA" w:rsidRDefault="007E6CFA" w:rsidP="007E6486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7E6CFA">
              <w:rPr>
                <w:rFonts w:ascii="Franklin Gothic Book" w:hAnsi="Franklin Gothic Book" w:cs="Arial"/>
                <w:sz w:val="24"/>
                <w:szCs w:val="24"/>
              </w:rPr>
              <w:t>1.0</w:t>
            </w:r>
          </w:p>
        </w:tc>
      </w:tr>
      <w:tr w:rsidR="00203CFA" w:rsidRPr="007E6CFA" w14:paraId="74AEB71E" w14:textId="77777777">
        <w:tc>
          <w:tcPr>
            <w:tcW w:w="2358" w:type="dxa"/>
          </w:tcPr>
          <w:p w14:paraId="74AEB71C" w14:textId="77777777" w:rsidR="00203CFA" w:rsidRPr="007E6CFA" w:rsidRDefault="00203CFA" w:rsidP="00C142DD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7E6CFA">
              <w:rPr>
                <w:rFonts w:ascii="Franklin Gothic Book" w:hAnsi="Franklin Gothic Book" w:cs="Arial"/>
                <w:sz w:val="24"/>
                <w:szCs w:val="24"/>
              </w:rPr>
              <w:t>Prev. Version</w:t>
            </w:r>
          </w:p>
        </w:tc>
        <w:tc>
          <w:tcPr>
            <w:tcW w:w="7200" w:type="dxa"/>
          </w:tcPr>
          <w:p w14:paraId="74AEB71D" w14:textId="471C6F28" w:rsidR="00203CFA" w:rsidRPr="007E6CFA" w:rsidRDefault="00126177" w:rsidP="00DD0907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N/A</w:t>
            </w:r>
            <w:bookmarkStart w:id="0" w:name="_GoBack"/>
            <w:bookmarkEnd w:id="0"/>
          </w:p>
        </w:tc>
      </w:tr>
      <w:tr w:rsidR="00203CFA" w:rsidRPr="007E6CFA" w14:paraId="74AEB721" w14:textId="77777777">
        <w:tc>
          <w:tcPr>
            <w:tcW w:w="2358" w:type="dxa"/>
          </w:tcPr>
          <w:p w14:paraId="74AEB71F" w14:textId="77777777" w:rsidR="00203CFA" w:rsidRPr="007E6CFA" w:rsidRDefault="00203CFA" w:rsidP="00C142DD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7E6CFA">
              <w:rPr>
                <w:rFonts w:ascii="Franklin Gothic Book" w:hAnsi="Franklin Gothic Book" w:cs="Arial"/>
                <w:sz w:val="24"/>
                <w:szCs w:val="24"/>
              </w:rPr>
              <w:t>Next Review</w:t>
            </w:r>
          </w:p>
        </w:tc>
        <w:tc>
          <w:tcPr>
            <w:tcW w:w="7200" w:type="dxa"/>
          </w:tcPr>
          <w:p w14:paraId="74AEB720" w14:textId="2207DC58" w:rsidR="00203CFA" w:rsidRPr="007E6CFA" w:rsidRDefault="003F3C40" w:rsidP="00E517C0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7E6CFA">
              <w:rPr>
                <w:rFonts w:ascii="Franklin Gothic Book" w:hAnsi="Franklin Gothic Book" w:cs="Arial"/>
                <w:sz w:val="24"/>
                <w:szCs w:val="24"/>
              </w:rPr>
              <w:t>202</w:t>
            </w:r>
            <w:r w:rsidR="007E6CFA" w:rsidRPr="007E6CFA">
              <w:rPr>
                <w:rFonts w:ascii="Franklin Gothic Book" w:hAnsi="Franklin Gothic Book" w:cs="Arial"/>
                <w:sz w:val="24"/>
                <w:szCs w:val="24"/>
              </w:rPr>
              <w:t>5</w:t>
            </w:r>
          </w:p>
        </w:tc>
      </w:tr>
    </w:tbl>
    <w:p w14:paraId="74AEB722" w14:textId="77777777" w:rsidR="003746D9" w:rsidRPr="007E6CFA" w:rsidRDefault="003746D9" w:rsidP="003746D9">
      <w:pPr>
        <w:autoSpaceDE w:val="0"/>
        <w:autoSpaceDN w:val="0"/>
        <w:adjustRightInd w:val="0"/>
        <w:spacing w:after="0" w:line="240" w:lineRule="auto"/>
        <w:ind w:left="360"/>
        <w:jc w:val="both"/>
        <w:rPr>
          <w:rStyle w:val="Heading3Char1"/>
          <w:rFonts w:ascii="Franklin Gothic Book" w:hAnsi="Franklin Gothic Book"/>
        </w:rPr>
      </w:pPr>
      <w:bookmarkStart w:id="1" w:name="_Toc161112721"/>
    </w:p>
    <w:bookmarkEnd w:id="1"/>
    <w:p w14:paraId="527A7A13" w14:textId="6A33C2CF" w:rsidR="007E6CFA" w:rsidRPr="007E6CFA" w:rsidRDefault="007E6CFA" w:rsidP="007E6CFA">
      <w:pPr>
        <w:spacing w:line="240" w:lineRule="auto"/>
        <w:rPr>
          <w:rFonts w:ascii="Franklin Gothic Book" w:hAnsi="Franklin Gothic Book"/>
          <w:sz w:val="24"/>
          <w:szCs w:val="24"/>
        </w:rPr>
      </w:pPr>
      <w:r w:rsidRPr="007E6CFA">
        <w:rPr>
          <w:rFonts w:ascii="Franklin Gothic Book" w:hAnsi="Franklin Gothic Book"/>
          <w:b/>
          <w:sz w:val="24"/>
          <w:szCs w:val="24"/>
        </w:rPr>
        <w:t>Objective</w:t>
      </w:r>
      <w:r w:rsidRPr="007E6CFA">
        <w:rPr>
          <w:rFonts w:ascii="Franklin Gothic Book" w:hAnsi="Franklin Gothic Book"/>
          <w:sz w:val="24"/>
          <w:szCs w:val="24"/>
        </w:rPr>
        <w:br/>
        <w:t>MSVU is committed to the integrity of its merit review proce</w:t>
      </w:r>
      <w:r w:rsidR="001501DD">
        <w:rPr>
          <w:rFonts w:ascii="Franklin Gothic Book" w:hAnsi="Franklin Gothic Book"/>
          <w:sz w:val="24"/>
          <w:szCs w:val="24"/>
        </w:rPr>
        <w:t>dures</w:t>
      </w:r>
      <w:r w:rsidRPr="007E6CFA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7E6CFA">
        <w:rPr>
          <w:rFonts w:ascii="Franklin Gothic Book" w:hAnsi="Franklin Gothic Book"/>
          <w:sz w:val="24"/>
          <w:szCs w:val="24"/>
        </w:rPr>
        <w:t>For</w:t>
      </w:r>
      <w:proofErr w:type="gramEnd"/>
      <w:r w:rsidRPr="007E6CFA">
        <w:rPr>
          <w:rFonts w:ascii="Franklin Gothic Book" w:hAnsi="Franklin Gothic Book"/>
          <w:sz w:val="24"/>
          <w:szCs w:val="24"/>
        </w:rPr>
        <w:t xml:space="preserve"> this reason, the merit review process includes an appeal process for applicants. Applicants can ask that a funding decision be reconsidered where evidence suggests an error occurred during MSVU’s </w:t>
      </w:r>
      <w:r w:rsidR="00122365">
        <w:rPr>
          <w:rFonts w:ascii="Franklin Gothic Book" w:hAnsi="Franklin Gothic Book"/>
          <w:sz w:val="24"/>
          <w:szCs w:val="24"/>
        </w:rPr>
        <w:t>m</w:t>
      </w:r>
      <w:r w:rsidRPr="007E6CFA">
        <w:rPr>
          <w:rFonts w:ascii="Franklin Gothic Book" w:hAnsi="Franklin Gothic Book"/>
          <w:sz w:val="24"/>
          <w:szCs w:val="24"/>
        </w:rPr>
        <w:t>erit review process that resulted in an unsuccessful application.</w:t>
      </w:r>
    </w:p>
    <w:p w14:paraId="31D3E9F6" w14:textId="360A4631" w:rsidR="007E6CFA" w:rsidRPr="007E6CFA" w:rsidRDefault="007E6CFA" w:rsidP="007E6CFA">
      <w:pPr>
        <w:pStyle w:val="NormalWeb"/>
        <w:spacing w:before="0" w:beforeAutospacing="0" w:after="173" w:afterAutospacing="0"/>
        <w:rPr>
          <w:rFonts w:ascii="Franklin Gothic Book" w:hAnsi="Franklin Gothic Book" w:cs="Helvetica"/>
        </w:rPr>
      </w:pPr>
      <w:r w:rsidRPr="007E6CFA">
        <w:rPr>
          <w:rFonts w:ascii="Franklin Gothic Book" w:hAnsi="Franklin Gothic Book"/>
          <w:b/>
          <w:color w:val="000000" w:themeColor="text1"/>
          <w:lang w:val="en-CA"/>
        </w:rPr>
        <w:t>Eligibility for Appeal</w:t>
      </w:r>
      <w:r w:rsidRPr="007E6CFA">
        <w:rPr>
          <w:rFonts w:ascii="Franklin Gothic Book" w:hAnsi="Franklin Gothic Book"/>
          <w:color w:val="000000" w:themeColor="text1"/>
          <w:lang w:val="en-CA"/>
        </w:rPr>
        <w:br/>
      </w:r>
      <w:r w:rsidR="00DF750A">
        <w:rPr>
          <w:rFonts w:ascii="Franklin Gothic Book" w:hAnsi="Franklin Gothic Book" w:cs="Helvetica"/>
        </w:rPr>
        <w:t xml:space="preserve">In keeping with </w:t>
      </w:r>
      <w:r w:rsidR="00084A05">
        <w:rPr>
          <w:rFonts w:ascii="Franklin Gothic Book" w:hAnsi="Franklin Gothic Book" w:cs="Helvetica"/>
        </w:rPr>
        <w:t xml:space="preserve">Tri-Agency </w:t>
      </w:r>
      <w:r w:rsidR="00DF750A">
        <w:rPr>
          <w:rFonts w:ascii="Franklin Gothic Book" w:hAnsi="Franklin Gothic Book" w:cs="Helvetica"/>
        </w:rPr>
        <w:t>funding</w:t>
      </w:r>
      <w:r w:rsidR="00084A05">
        <w:rPr>
          <w:rFonts w:ascii="Franklin Gothic Book" w:hAnsi="Franklin Gothic Book" w:cs="Helvetica"/>
        </w:rPr>
        <w:t xml:space="preserve"> procedures</w:t>
      </w:r>
      <w:r w:rsidR="00DF750A">
        <w:rPr>
          <w:rFonts w:ascii="Franklin Gothic Book" w:hAnsi="Franklin Gothic Book" w:cs="Helvetica"/>
        </w:rPr>
        <w:t>, d</w:t>
      </w:r>
      <w:r w:rsidRPr="007E6CFA">
        <w:rPr>
          <w:rFonts w:ascii="Franklin Gothic Book" w:hAnsi="Franklin Gothic Book" w:cs="Helvetica"/>
        </w:rPr>
        <w:t xml:space="preserve">ecisions not to fund an application can be appealed only where there is evidence of an error in MSVU’s merit review process. Appeals can be submitted </w:t>
      </w:r>
      <w:r w:rsidR="00DF750A">
        <w:rPr>
          <w:rFonts w:ascii="Franklin Gothic Book" w:hAnsi="Franklin Gothic Book" w:cs="Helvetica"/>
        </w:rPr>
        <w:t xml:space="preserve">in writing </w:t>
      </w:r>
      <w:r w:rsidRPr="007E6CFA">
        <w:rPr>
          <w:rFonts w:ascii="Franklin Gothic Book" w:hAnsi="Franklin Gothic Book" w:cs="Helvetica"/>
        </w:rPr>
        <w:t xml:space="preserve">only by the </w:t>
      </w:r>
      <w:r w:rsidR="00DF750A">
        <w:rPr>
          <w:rFonts w:ascii="Franklin Gothic Book" w:hAnsi="Franklin Gothic Book" w:cs="Helvetica"/>
        </w:rPr>
        <w:t xml:space="preserve">principal </w:t>
      </w:r>
      <w:r w:rsidRPr="007E6CFA">
        <w:rPr>
          <w:rFonts w:ascii="Franklin Gothic Book" w:hAnsi="Franklin Gothic Book" w:cs="Helvetica"/>
        </w:rPr>
        <w:t>applicant named in the application.</w:t>
      </w:r>
    </w:p>
    <w:p w14:paraId="29C33F96" w14:textId="2BFD8D21" w:rsidR="007E6CFA" w:rsidRPr="007E6CFA" w:rsidRDefault="007E6CFA" w:rsidP="007E6CFA">
      <w:pPr>
        <w:spacing w:after="173" w:line="240" w:lineRule="auto"/>
        <w:rPr>
          <w:rFonts w:ascii="Franklin Gothic Book" w:eastAsia="Times New Roman" w:hAnsi="Franklin Gothic Book" w:cs="Helvetica"/>
          <w:sz w:val="24"/>
          <w:szCs w:val="24"/>
        </w:rPr>
      </w:pPr>
      <w:r w:rsidRPr="007E6CFA">
        <w:rPr>
          <w:rFonts w:ascii="Franklin Gothic Book" w:eastAsia="Times New Roman" w:hAnsi="Franklin Gothic Book" w:cs="Helvetica"/>
          <w:sz w:val="24"/>
          <w:szCs w:val="24"/>
        </w:rPr>
        <w:t>Errors are departures from MSVU’s policies and procedures, for example:</w:t>
      </w:r>
    </w:p>
    <w:p w14:paraId="426B2054" w14:textId="77777777" w:rsidR="007E6CFA" w:rsidRPr="007E6CFA" w:rsidRDefault="007E6CFA" w:rsidP="00122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Helvetica"/>
          <w:sz w:val="24"/>
          <w:szCs w:val="24"/>
        </w:rPr>
      </w:pPr>
      <w:r w:rsidRPr="007E6CFA">
        <w:rPr>
          <w:rFonts w:ascii="Franklin Gothic Book" w:eastAsia="Times New Roman" w:hAnsi="Franklin Gothic Book" w:cs="Helvetica"/>
          <w:sz w:val="24"/>
          <w:szCs w:val="24"/>
        </w:rPr>
        <w:t>an undeclared or unaddressed conflict of interest within the merit review process;</w:t>
      </w:r>
    </w:p>
    <w:p w14:paraId="22C41142" w14:textId="22F829DB" w:rsidR="007E6CFA" w:rsidRPr="007E6CFA" w:rsidRDefault="007E6CFA" w:rsidP="00122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Helvetica"/>
          <w:sz w:val="24"/>
          <w:szCs w:val="24"/>
        </w:rPr>
      </w:pPr>
      <w:r w:rsidRPr="007E6CFA">
        <w:rPr>
          <w:rFonts w:ascii="Franklin Gothic Book" w:eastAsia="Times New Roman" w:hAnsi="Franklin Gothic Book" w:cs="Helvetica"/>
          <w:sz w:val="24"/>
          <w:szCs w:val="24"/>
        </w:rPr>
        <w:t>MSVU staff failed to provide the adjudication committee with required information; or</w:t>
      </w:r>
    </w:p>
    <w:p w14:paraId="56D6C32D" w14:textId="7287CC8E" w:rsidR="007E6CFA" w:rsidRDefault="007E6CFA" w:rsidP="00122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Helvetica"/>
          <w:sz w:val="24"/>
          <w:szCs w:val="24"/>
        </w:rPr>
      </w:pPr>
      <w:r w:rsidRPr="007E6CFA">
        <w:rPr>
          <w:rFonts w:ascii="Franklin Gothic Book" w:eastAsia="Times New Roman" w:hAnsi="Franklin Gothic Book" w:cs="Helvetica"/>
          <w:sz w:val="24"/>
          <w:szCs w:val="24"/>
        </w:rPr>
        <w:t>the adjudication committee’s decision to not recommend an award is based on a conclusion that is contrary to information provided by the applicant in the application.</w:t>
      </w:r>
    </w:p>
    <w:p w14:paraId="5EBF55ED" w14:textId="3991928E" w:rsidR="007E6CFA" w:rsidRPr="007E6CFA" w:rsidRDefault="007E6CFA" w:rsidP="007E6CFA">
      <w:pPr>
        <w:spacing w:before="100" w:beforeAutospacing="1" w:after="100" w:afterAutospacing="1" w:line="240" w:lineRule="auto"/>
        <w:rPr>
          <w:rFonts w:ascii="Franklin Gothic Book" w:eastAsia="Times New Roman" w:hAnsi="Franklin Gothic Book" w:cs="Helvetica"/>
          <w:sz w:val="24"/>
          <w:szCs w:val="24"/>
        </w:rPr>
      </w:pPr>
      <w:r w:rsidRPr="007E6CFA">
        <w:rPr>
          <w:rFonts w:ascii="Franklin Gothic Book" w:eastAsia="Times New Roman" w:hAnsi="Franklin Gothic Book" w:cs="Helvetica"/>
          <w:sz w:val="24"/>
          <w:szCs w:val="24"/>
        </w:rPr>
        <w:t>The onus is on the applicant to demonstrate that a procedural error was made in the review of the application.</w:t>
      </w:r>
    </w:p>
    <w:p w14:paraId="080A8A04" w14:textId="7455F3E8" w:rsidR="007E6CFA" w:rsidRPr="007E6CFA" w:rsidRDefault="007E6CFA" w:rsidP="007E6CFA">
      <w:pPr>
        <w:spacing w:after="173" w:line="240" w:lineRule="auto"/>
        <w:rPr>
          <w:rFonts w:ascii="Franklin Gothic Book" w:eastAsia="Times New Roman" w:hAnsi="Franklin Gothic Book" w:cs="Helvetica"/>
          <w:sz w:val="24"/>
          <w:szCs w:val="24"/>
        </w:rPr>
      </w:pPr>
      <w:r w:rsidRPr="007E6CFA">
        <w:rPr>
          <w:rFonts w:ascii="Franklin Gothic Book" w:eastAsia="Times New Roman" w:hAnsi="Franklin Gothic Book" w:cs="Helvetica"/>
          <w:sz w:val="24"/>
          <w:szCs w:val="24"/>
        </w:rPr>
        <w:t>MSVU will </w:t>
      </w:r>
      <w:r w:rsidRPr="007E6CFA">
        <w:rPr>
          <w:rFonts w:ascii="Franklin Gothic Book" w:eastAsia="Times New Roman" w:hAnsi="Franklin Gothic Book" w:cs="Helvetica"/>
          <w:b/>
          <w:bCs/>
          <w:sz w:val="24"/>
          <w:szCs w:val="24"/>
        </w:rPr>
        <w:t>not</w:t>
      </w:r>
      <w:r w:rsidRPr="007E6CFA">
        <w:rPr>
          <w:rFonts w:ascii="Franklin Gothic Book" w:eastAsia="Times New Roman" w:hAnsi="Franklin Gothic Book" w:cs="Helvetica"/>
          <w:sz w:val="24"/>
          <w:szCs w:val="24"/>
        </w:rPr>
        <w:t> accept appeals based on:</w:t>
      </w:r>
    </w:p>
    <w:p w14:paraId="175D67D0" w14:textId="224A003D" w:rsidR="007E6CFA" w:rsidRPr="007E6CFA" w:rsidRDefault="007E6CFA" w:rsidP="001223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Helvetica"/>
          <w:sz w:val="24"/>
          <w:szCs w:val="24"/>
        </w:rPr>
      </w:pPr>
      <w:r w:rsidRPr="007E6CFA">
        <w:rPr>
          <w:rFonts w:ascii="Franklin Gothic Book" w:eastAsia="Times New Roman" w:hAnsi="Franklin Gothic Book" w:cs="Helvetica"/>
          <w:sz w:val="24"/>
          <w:szCs w:val="24"/>
        </w:rPr>
        <w:t>decisions pertaining to applicant, subject matter or eligibility;</w:t>
      </w:r>
    </w:p>
    <w:p w14:paraId="75645E6A" w14:textId="0E133193" w:rsidR="007E6CFA" w:rsidRPr="007E6CFA" w:rsidRDefault="007E6CFA" w:rsidP="001223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Helvetica"/>
          <w:sz w:val="24"/>
          <w:szCs w:val="24"/>
        </w:rPr>
      </w:pPr>
      <w:r w:rsidRPr="007E6CFA">
        <w:rPr>
          <w:rFonts w:ascii="Franklin Gothic Book" w:eastAsia="Times New Roman" w:hAnsi="Franklin Gothic Book" w:cs="Helvetica"/>
          <w:sz w:val="24"/>
          <w:szCs w:val="24"/>
        </w:rPr>
        <w:t>a difference in scholarly opinion;</w:t>
      </w:r>
    </w:p>
    <w:p w14:paraId="26871021" w14:textId="20B02DFA" w:rsidR="007E6CFA" w:rsidRDefault="007E6CFA" w:rsidP="001223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Helvetica"/>
          <w:sz w:val="24"/>
          <w:szCs w:val="24"/>
        </w:rPr>
      </w:pPr>
      <w:r w:rsidRPr="007E6CFA">
        <w:rPr>
          <w:rFonts w:ascii="Franklin Gothic Book" w:eastAsia="Times New Roman" w:hAnsi="Franklin Gothic Book" w:cs="Helvetica"/>
          <w:sz w:val="24"/>
          <w:szCs w:val="24"/>
        </w:rPr>
        <w:t>disagreement over the interpretation or analysis of facts by adjudication committee members;</w:t>
      </w:r>
    </w:p>
    <w:p w14:paraId="21E081E0" w14:textId="3F7990B6" w:rsidR="007E6CFA" w:rsidRPr="007E6CFA" w:rsidRDefault="007E6CFA" w:rsidP="001223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Helvetica"/>
          <w:sz w:val="24"/>
          <w:szCs w:val="24"/>
        </w:rPr>
      </w:pPr>
      <w:r w:rsidRPr="007E6CFA">
        <w:rPr>
          <w:rFonts w:ascii="Franklin Gothic Book" w:hAnsi="Franklin Gothic Book"/>
          <w:color w:val="000000"/>
          <w:sz w:val="24"/>
          <w:szCs w:val="24"/>
          <w:shd w:val="clear" w:color="auto" w:fill="FFFFFF"/>
        </w:rPr>
        <w:t>failure of the applicant to follow application instructions;</w:t>
      </w:r>
    </w:p>
    <w:p w14:paraId="6EB06F02" w14:textId="77777777" w:rsidR="007E6CFA" w:rsidRPr="007E6CFA" w:rsidRDefault="007E6CFA" w:rsidP="001223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Helvetica"/>
          <w:sz w:val="24"/>
          <w:szCs w:val="24"/>
        </w:rPr>
      </w:pPr>
      <w:r w:rsidRPr="007E6CFA">
        <w:rPr>
          <w:rFonts w:ascii="Franklin Gothic Book" w:eastAsia="Times New Roman" w:hAnsi="Franklin Gothic Book" w:cs="Helvetica"/>
          <w:sz w:val="24"/>
          <w:szCs w:val="24"/>
        </w:rPr>
        <w:t>the composition of an adjudication committee; or</w:t>
      </w:r>
    </w:p>
    <w:p w14:paraId="019F8F4D" w14:textId="77777777" w:rsidR="007E6CFA" w:rsidRPr="007E6CFA" w:rsidRDefault="007E6CFA" w:rsidP="001223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Helvetica"/>
          <w:sz w:val="24"/>
          <w:szCs w:val="24"/>
        </w:rPr>
      </w:pPr>
      <w:r w:rsidRPr="007E6CFA">
        <w:rPr>
          <w:rFonts w:ascii="Franklin Gothic Book" w:eastAsia="Times New Roman" w:hAnsi="Franklin Gothic Book" w:cs="Helvetica"/>
          <w:sz w:val="24"/>
          <w:szCs w:val="24"/>
        </w:rPr>
        <w:t>the amount awarded.</w:t>
      </w:r>
    </w:p>
    <w:p w14:paraId="61491BEB" w14:textId="12A322C9" w:rsidR="007E6CFA" w:rsidRPr="00122365" w:rsidRDefault="007E6CFA" w:rsidP="00122365">
      <w:pPr>
        <w:spacing w:after="173" w:line="240" w:lineRule="auto"/>
        <w:rPr>
          <w:rFonts w:ascii="Franklin Gothic Book" w:eastAsia="Times New Roman" w:hAnsi="Franklin Gothic Book" w:cs="Helvetica"/>
          <w:sz w:val="24"/>
          <w:szCs w:val="24"/>
        </w:rPr>
      </w:pPr>
      <w:r w:rsidRPr="007E6CFA">
        <w:rPr>
          <w:rFonts w:ascii="Franklin Gothic Book" w:eastAsia="Times New Roman" w:hAnsi="Franklin Gothic Book" w:cs="Helvetica"/>
          <w:sz w:val="24"/>
          <w:szCs w:val="24"/>
        </w:rPr>
        <w:lastRenderedPageBreak/>
        <w:t>Decisions on appeals are final.</w:t>
      </w:r>
    </w:p>
    <w:p w14:paraId="09DC7A26" w14:textId="2DE9BEF1" w:rsidR="007E6CFA" w:rsidRPr="00122365" w:rsidRDefault="007E6CFA" w:rsidP="00122365">
      <w:pPr>
        <w:spacing w:after="173" w:line="240" w:lineRule="auto"/>
        <w:rPr>
          <w:rFonts w:ascii="Franklin Gothic Book" w:eastAsia="Times New Roman" w:hAnsi="Franklin Gothic Book" w:cs="Helvetica"/>
          <w:b/>
          <w:sz w:val="24"/>
          <w:szCs w:val="24"/>
        </w:rPr>
      </w:pPr>
      <w:r w:rsidRPr="00122365">
        <w:rPr>
          <w:rFonts w:ascii="Franklin Gothic Book" w:eastAsia="Times New Roman" w:hAnsi="Franklin Gothic Book" w:cs="Helvetica"/>
          <w:b/>
          <w:sz w:val="24"/>
          <w:szCs w:val="24"/>
        </w:rPr>
        <w:t xml:space="preserve">Procedure </w:t>
      </w:r>
      <w:r w:rsidRPr="00122365">
        <w:rPr>
          <w:rFonts w:ascii="Franklin Gothic Book" w:eastAsia="Times New Roman" w:hAnsi="Franklin Gothic Book" w:cs="Helvetica"/>
          <w:b/>
          <w:sz w:val="24"/>
          <w:szCs w:val="24"/>
        </w:rPr>
        <w:br/>
      </w:r>
      <w:r w:rsidRPr="00122365">
        <w:rPr>
          <w:rFonts w:ascii="Franklin Gothic Book" w:hAnsi="Franklin Gothic Book" w:cs="Helvetica"/>
          <w:color w:val="333333"/>
          <w:sz w:val="24"/>
          <w:szCs w:val="24"/>
        </w:rPr>
        <w:t>Applicants seeking further information about the review of their application are strongly encouraged to </w:t>
      </w:r>
      <w:r w:rsidRPr="00122365">
        <w:rPr>
          <w:rStyle w:val="Strong"/>
          <w:rFonts w:ascii="Franklin Gothic Book" w:hAnsi="Franklin Gothic Book" w:cs="Helvetica"/>
          <w:color w:val="333333"/>
          <w:sz w:val="24"/>
          <w:szCs w:val="24"/>
        </w:rPr>
        <w:t>first</w:t>
      </w:r>
      <w:r w:rsidRPr="00122365">
        <w:rPr>
          <w:rFonts w:ascii="Franklin Gothic Book" w:hAnsi="Franklin Gothic Book" w:cs="Helvetica"/>
          <w:color w:val="333333"/>
          <w:sz w:val="24"/>
          <w:szCs w:val="24"/>
        </w:rPr>
        <w:t xml:space="preserve"> communicate </w:t>
      </w:r>
      <w:r w:rsidR="00DF750A">
        <w:rPr>
          <w:rFonts w:ascii="Franklin Gothic Book" w:hAnsi="Franklin Gothic Book" w:cs="Helvetica"/>
          <w:color w:val="333333"/>
          <w:sz w:val="24"/>
          <w:szCs w:val="24"/>
        </w:rPr>
        <w:t>in writing to</w:t>
      </w:r>
      <w:r w:rsidRPr="00122365">
        <w:rPr>
          <w:rFonts w:ascii="Franklin Gothic Book" w:hAnsi="Franklin Gothic Book" w:cs="Helvetica"/>
          <w:color w:val="333333"/>
          <w:sz w:val="24"/>
          <w:szCs w:val="24"/>
        </w:rPr>
        <w:t xml:space="preserve"> the AVPR, as Chair of the CRP. If the applicant wishes to pursue an appeal after initial discussion and has the necessary evidence of a</w:t>
      </w:r>
      <w:r w:rsidR="00DF750A">
        <w:rPr>
          <w:rFonts w:ascii="Franklin Gothic Book" w:hAnsi="Franklin Gothic Book" w:cs="Helvetica"/>
          <w:color w:val="333333"/>
          <w:sz w:val="24"/>
          <w:szCs w:val="24"/>
        </w:rPr>
        <w:t xml:space="preserve"> technical</w:t>
      </w:r>
      <w:r w:rsidRPr="00122365">
        <w:rPr>
          <w:rFonts w:ascii="Franklin Gothic Book" w:hAnsi="Franklin Gothic Book" w:cs="Helvetica"/>
          <w:color w:val="333333"/>
          <w:sz w:val="24"/>
          <w:szCs w:val="24"/>
        </w:rPr>
        <w:t xml:space="preserve"> error as outlined above, the applicant can submit a formal letter</w:t>
      </w:r>
      <w:r w:rsidR="00DF750A">
        <w:rPr>
          <w:rFonts w:ascii="Franklin Gothic Book" w:hAnsi="Franklin Gothic Book" w:cs="Helvetica"/>
          <w:color w:val="333333"/>
          <w:sz w:val="24"/>
          <w:szCs w:val="24"/>
        </w:rPr>
        <w:t xml:space="preserve"> in writing via email to</w:t>
      </w:r>
      <w:r w:rsidRPr="00122365">
        <w:rPr>
          <w:rFonts w:ascii="Franklin Gothic Book" w:hAnsi="Franklin Gothic Book" w:cs="Helvetica"/>
          <w:color w:val="333333"/>
          <w:sz w:val="24"/>
          <w:szCs w:val="24"/>
        </w:rPr>
        <w:t xml:space="preserve"> appeal to the Chair. </w:t>
      </w:r>
    </w:p>
    <w:p w14:paraId="6A46A811" w14:textId="77777777" w:rsidR="007E6CFA" w:rsidRPr="00122365" w:rsidRDefault="007E6CFA" w:rsidP="00122365">
      <w:pPr>
        <w:pStyle w:val="NormalWeb"/>
        <w:spacing w:before="0" w:beforeAutospacing="0" w:after="173" w:afterAutospacing="0"/>
        <w:rPr>
          <w:rFonts w:ascii="Franklin Gothic Book" w:hAnsi="Franklin Gothic Book" w:cs="Helvetica"/>
          <w:color w:val="333333"/>
        </w:rPr>
      </w:pPr>
      <w:r w:rsidRPr="00122365">
        <w:rPr>
          <w:rFonts w:ascii="Franklin Gothic Book" w:hAnsi="Franklin Gothic Book" w:cs="Helvetica"/>
          <w:color w:val="333333"/>
        </w:rPr>
        <w:t>The appeal should be based on a compelling demonstration that an error occurred in the merit review process.</w:t>
      </w:r>
    </w:p>
    <w:p w14:paraId="5666F00F" w14:textId="77777777" w:rsidR="00122365" w:rsidRDefault="007E6CFA" w:rsidP="00122365">
      <w:pPr>
        <w:pStyle w:val="NormalWeb"/>
        <w:spacing w:before="0" w:beforeAutospacing="0" w:after="173" w:afterAutospacing="0"/>
        <w:rPr>
          <w:rFonts w:ascii="Franklin Gothic Book" w:hAnsi="Franklin Gothic Book"/>
          <w:color w:val="000000"/>
        </w:rPr>
      </w:pPr>
      <w:r w:rsidRPr="00122365">
        <w:rPr>
          <w:rFonts w:ascii="Franklin Gothic Book" w:hAnsi="Franklin Gothic Book" w:cs="Helvetica"/>
          <w:color w:val="333333"/>
        </w:rPr>
        <w:t xml:space="preserve">Appeals must be submitted in writing, emailed no later than </w:t>
      </w:r>
      <w:r w:rsidR="00122365" w:rsidRPr="00122365">
        <w:rPr>
          <w:rFonts w:ascii="Franklin Gothic Book" w:hAnsi="Franklin Gothic Book" w:cs="Helvetica"/>
          <w:color w:val="333333"/>
        </w:rPr>
        <w:t xml:space="preserve">two months </w:t>
      </w:r>
      <w:r w:rsidRPr="00122365">
        <w:rPr>
          <w:rFonts w:ascii="Franklin Gothic Book" w:hAnsi="Franklin Gothic Book" w:cs="Helvetica"/>
          <w:color w:val="333333"/>
        </w:rPr>
        <w:t>after the date indicated on the applicant’s decision letter. Appeal letters must be </w:t>
      </w:r>
      <w:r w:rsidRPr="00122365">
        <w:rPr>
          <w:rStyle w:val="Strong"/>
          <w:rFonts w:ascii="Franklin Gothic Book" w:hAnsi="Franklin Gothic Book" w:cs="Helvetica"/>
          <w:color w:val="333333"/>
        </w:rPr>
        <w:t>no more than two pages</w:t>
      </w:r>
      <w:r w:rsidRPr="00122365">
        <w:rPr>
          <w:rFonts w:ascii="Franklin Gothic Book" w:hAnsi="Franklin Gothic Book" w:cs="Helvetica"/>
          <w:color w:val="333333"/>
        </w:rPr>
        <w:t>. Appellants cannot submit with their appeal supporting documents that were not included in the original application.</w:t>
      </w:r>
      <w:r w:rsidR="00122365" w:rsidRPr="00122365">
        <w:rPr>
          <w:rFonts w:ascii="Franklin Gothic Book" w:hAnsi="Franklin Gothic Book"/>
          <w:color w:val="000000"/>
        </w:rPr>
        <w:t xml:space="preserve"> Appeals not respecting the principles described above or the page limit will not be considered.</w:t>
      </w:r>
    </w:p>
    <w:p w14:paraId="2D67475D" w14:textId="70EC2905" w:rsidR="00122365" w:rsidRDefault="00122365" w:rsidP="00122365">
      <w:pPr>
        <w:pStyle w:val="NormalWeb"/>
        <w:spacing w:before="0" w:beforeAutospacing="0" w:after="173" w:afterAutospacing="0"/>
        <w:rPr>
          <w:rFonts w:ascii="Franklin Gothic Book" w:hAnsi="Franklin Gothic Book" w:cs="Helvetica"/>
        </w:rPr>
      </w:pPr>
      <w:r>
        <w:rPr>
          <w:rFonts w:ascii="Franklin Gothic Book" w:hAnsi="Franklin Gothic Book" w:cs="Helvetica"/>
          <w:b/>
        </w:rPr>
        <w:br/>
      </w:r>
      <w:r w:rsidR="007E6CFA">
        <w:rPr>
          <w:rFonts w:ascii="Franklin Gothic Book" w:hAnsi="Franklin Gothic Book" w:cs="Helvetica"/>
          <w:b/>
        </w:rPr>
        <w:t>Appeals Committee</w:t>
      </w:r>
      <w:r>
        <w:rPr>
          <w:rFonts w:ascii="Franklin Gothic Book" w:hAnsi="Franklin Gothic Book" w:cs="Helvetica"/>
          <w:b/>
        </w:rPr>
        <w:br/>
      </w:r>
      <w:r>
        <w:rPr>
          <w:rFonts w:ascii="Franklin Gothic Book" w:hAnsi="Franklin Gothic Book" w:cs="Helvetica"/>
        </w:rPr>
        <w:t xml:space="preserve">The Chair of the CRP will strike an ad-hoc committee of at least three </w:t>
      </w:r>
      <w:r w:rsidR="00DF750A">
        <w:rPr>
          <w:rFonts w:ascii="Franklin Gothic Book" w:hAnsi="Franklin Gothic Book" w:cs="Helvetica"/>
        </w:rPr>
        <w:t xml:space="preserve">full-time </w:t>
      </w:r>
      <w:r w:rsidR="0037115A">
        <w:rPr>
          <w:rFonts w:ascii="Franklin Gothic Book" w:hAnsi="Franklin Gothic Book" w:cs="Helvetica"/>
        </w:rPr>
        <w:t xml:space="preserve">tenured </w:t>
      </w:r>
      <w:r>
        <w:rPr>
          <w:rFonts w:ascii="Franklin Gothic Book" w:hAnsi="Franklin Gothic Book" w:cs="Helvetica"/>
        </w:rPr>
        <w:t>faculty members that does not include current members of the CRP.</w:t>
      </w:r>
    </w:p>
    <w:p w14:paraId="02BE87A5" w14:textId="7D4C346A" w:rsidR="00122365" w:rsidRDefault="00D21E02" w:rsidP="00122365">
      <w:pPr>
        <w:pStyle w:val="NormalWeb"/>
        <w:spacing w:before="0" w:beforeAutospacing="0" w:after="173" w:afterAutospacing="0"/>
        <w:rPr>
          <w:rFonts w:ascii="Franklin Gothic Book" w:hAnsi="Franklin Gothic Book" w:cs="Helvetica"/>
        </w:rPr>
      </w:pPr>
      <w:r>
        <w:rPr>
          <w:rFonts w:ascii="Franklin Gothic Book" w:hAnsi="Franklin Gothic Book" w:cs="Helvetica"/>
        </w:rPr>
        <w:t xml:space="preserve">The appeals committee will make a recommendation, which may include suggested actions for the AVPR and/or the CRP. </w:t>
      </w:r>
    </w:p>
    <w:p w14:paraId="0C7CFC48" w14:textId="50905D70" w:rsidR="00122365" w:rsidRPr="00122365" w:rsidRDefault="00122365" w:rsidP="00122365">
      <w:pPr>
        <w:pStyle w:val="Heading3"/>
        <w:shd w:val="clear" w:color="auto" w:fill="FFFFFF"/>
        <w:spacing w:before="0" w:after="150"/>
        <w:rPr>
          <w:rFonts w:ascii="Franklin Gothic Book" w:hAnsi="Franklin Gothic Book"/>
          <w:color w:val="999999"/>
          <w:sz w:val="24"/>
          <w:szCs w:val="24"/>
        </w:rPr>
      </w:pPr>
      <w:r w:rsidRPr="00122365">
        <w:rPr>
          <w:rFonts w:ascii="Franklin Gothic Book" w:hAnsi="Franklin Gothic Book" w:cs="Helvetica"/>
          <w:sz w:val="24"/>
          <w:szCs w:val="24"/>
        </w:rPr>
        <w:t>Results</w:t>
      </w:r>
      <w:r>
        <w:rPr>
          <w:rFonts w:ascii="Franklin Gothic Book" w:hAnsi="Franklin Gothic Book" w:cs="Helvetica"/>
          <w:sz w:val="24"/>
          <w:szCs w:val="24"/>
        </w:rPr>
        <w:br/>
      </w:r>
      <w:r w:rsidRPr="00122365">
        <w:rPr>
          <w:rFonts w:ascii="Franklin Gothic Book" w:hAnsi="Franklin Gothic Book"/>
          <w:b w:val="0"/>
          <w:color w:val="000000"/>
          <w:sz w:val="24"/>
          <w:szCs w:val="24"/>
        </w:rPr>
        <w:t>MSVU will advise appellants of appeal results in writing.</w:t>
      </w:r>
      <w:r w:rsidRPr="00122365">
        <w:rPr>
          <w:rFonts w:ascii="Franklin Gothic Book" w:hAnsi="Franklin Gothic Book"/>
          <w:color w:val="000000"/>
          <w:sz w:val="24"/>
          <w:szCs w:val="24"/>
        </w:rPr>
        <w:t xml:space="preserve"> </w:t>
      </w:r>
    </w:p>
    <w:p w14:paraId="31E6FE18" w14:textId="398290B6" w:rsidR="00122365" w:rsidRPr="00122365" w:rsidRDefault="00122365" w:rsidP="00122365">
      <w:pPr>
        <w:pStyle w:val="NormalWeb"/>
        <w:shd w:val="clear" w:color="auto" w:fill="FFFFFF"/>
        <w:spacing w:before="0" w:beforeAutospacing="0" w:line="288" w:lineRule="atLeast"/>
        <w:rPr>
          <w:rFonts w:ascii="Franklin Gothic Book" w:hAnsi="Franklin Gothic Book"/>
          <w:color w:val="000000"/>
        </w:rPr>
      </w:pPr>
      <w:r w:rsidRPr="00122365">
        <w:rPr>
          <w:rFonts w:ascii="Franklin Gothic Book" w:hAnsi="Franklin Gothic Book"/>
          <w:color w:val="000000"/>
        </w:rPr>
        <w:t>If the Appeals Committee concludes that a</w:t>
      </w:r>
      <w:r w:rsidR="00084A05">
        <w:rPr>
          <w:rFonts w:ascii="Franklin Gothic Book" w:hAnsi="Franklin Gothic Book"/>
          <w:color w:val="000000"/>
        </w:rPr>
        <w:t xml:space="preserve">n </w:t>
      </w:r>
      <w:r w:rsidRPr="00122365">
        <w:rPr>
          <w:rFonts w:ascii="Franklin Gothic Book" w:hAnsi="Franklin Gothic Book"/>
          <w:color w:val="000000"/>
        </w:rPr>
        <w:t>error occurred during the review of the application, the resulting funding decision could be to leave the original decision unchanged, or to increase or decrease the level and/or duration of the grant or award.</w:t>
      </w:r>
    </w:p>
    <w:p w14:paraId="0EC7C254" w14:textId="1BAB193F" w:rsidR="00122365" w:rsidRDefault="00122365" w:rsidP="00122365">
      <w:pPr>
        <w:pStyle w:val="NormalWeb"/>
        <w:spacing w:before="0" w:beforeAutospacing="0" w:after="173" w:afterAutospacing="0"/>
        <w:rPr>
          <w:rFonts w:ascii="Franklin Gothic Book" w:hAnsi="Franklin Gothic Book" w:cs="Helvetica"/>
        </w:rPr>
      </w:pPr>
    </w:p>
    <w:p w14:paraId="6EA8998E" w14:textId="2DD84C7D" w:rsidR="00791E95" w:rsidRPr="00CD6F03" w:rsidRDefault="00791E95" w:rsidP="00CD6F03">
      <w:pPr>
        <w:rPr>
          <w:rFonts w:ascii="Franklin Gothic Book" w:eastAsia="Times New Roman" w:hAnsi="Franklin Gothic Book" w:cs="Helvetica"/>
          <w:sz w:val="24"/>
          <w:szCs w:val="24"/>
        </w:rPr>
      </w:pPr>
    </w:p>
    <w:sectPr w:rsidR="00791E95" w:rsidRPr="00CD6F03" w:rsidSect="005413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85B84" w16cex:dateUtc="2022-01-11T23:39:00Z"/>
  <w16cex:commentExtensible w16cex:durableId="25885C0B" w16cex:dateUtc="2022-01-11T23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B1216" w14:textId="77777777" w:rsidR="00A0442E" w:rsidRDefault="00A0442E" w:rsidP="00C142DD">
      <w:pPr>
        <w:spacing w:after="0" w:line="240" w:lineRule="auto"/>
      </w:pPr>
      <w:r>
        <w:separator/>
      </w:r>
    </w:p>
  </w:endnote>
  <w:endnote w:type="continuationSeparator" w:id="0">
    <w:p w14:paraId="4BBF60B8" w14:textId="77777777" w:rsidR="00A0442E" w:rsidRDefault="00A0442E" w:rsidP="00C1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541AF" w14:textId="77777777" w:rsidR="00D74553" w:rsidRDefault="00D74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EB735" w14:textId="4786D518" w:rsidR="002817AF" w:rsidRDefault="0054130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CRP.</w:t>
    </w:r>
    <w:r w:rsidR="007875BF">
      <w:rPr>
        <w:rFonts w:asciiTheme="majorHAnsi" w:hAnsiTheme="majorHAnsi"/>
      </w:rPr>
      <w:t>SOP.0</w:t>
    </w:r>
    <w:r w:rsidR="007E6CFA">
      <w:rPr>
        <w:rFonts w:asciiTheme="majorHAnsi" w:hAnsiTheme="majorHAnsi"/>
      </w:rPr>
      <w:t>12 Appeals</w:t>
    </w:r>
  </w:p>
  <w:p w14:paraId="74AEB736" w14:textId="355E5242" w:rsidR="00541308" w:rsidRDefault="003F3C4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Last Updated: J</w:t>
    </w:r>
    <w:r w:rsidR="007E6CFA">
      <w:rPr>
        <w:rFonts w:asciiTheme="majorHAnsi" w:hAnsiTheme="majorHAnsi"/>
      </w:rPr>
      <w:t>an</w:t>
    </w:r>
    <w:r>
      <w:rPr>
        <w:rFonts w:asciiTheme="majorHAnsi" w:hAnsiTheme="majorHAnsi"/>
      </w:rPr>
      <w:t xml:space="preserve"> 20</w:t>
    </w:r>
    <w:r w:rsidR="00E0221C">
      <w:rPr>
        <w:rFonts w:asciiTheme="majorHAnsi" w:hAnsiTheme="majorHAnsi"/>
      </w:rPr>
      <w:t>2</w:t>
    </w:r>
    <w:r w:rsidR="007E6CFA">
      <w:rPr>
        <w:rFonts w:asciiTheme="majorHAnsi" w:hAnsiTheme="majorHAnsi"/>
      </w:rPr>
      <w:t>2</w:t>
    </w:r>
    <w:r w:rsidR="00541308">
      <w:rPr>
        <w:rFonts w:asciiTheme="majorHAnsi" w:hAnsiTheme="majorHAnsi"/>
      </w:rPr>
      <w:ptab w:relativeTo="margin" w:alignment="right" w:leader="none"/>
    </w:r>
    <w:r w:rsidR="00541308">
      <w:rPr>
        <w:rFonts w:asciiTheme="majorHAnsi" w:hAnsiTheme="majorHAnsi"/>
      </w:rPr>
      <w:t xml:space="preserve">Page </w:t>
    </w:r>
    <w:r w:rsidR="00183C29">
      <w:fldChar w:fldCharType="begin"/>
    </w:r>
    <w:r w:rsidR="00183C29">
      <w:instrText xml:space="preserve"> PAGE   \* MERGEFORMAT </w:instrText>
    </w:r>
    <w:r w:rsidR="00183C29">
      <w:fldChar w:fldCharType="separate"/>
    </w:r>
    <w:r w:rsidR="00885FD1" w:rsidRPr="00885FD1">
      <w:rPr>
        <w:rFonts w:asciiTheme="majorHAnsi" w:hAnsiTheme="majorHAnsi"/>
        <w:noProof/>
      </w:rPr>
      <w:t>1</w:t>
    </w:r>
    <w:r w:rsidR="00183C29">
      <w:rPr>
        <w:rFonts w:asciiTheme="majorHAnsi" w:hAnsiTheme="majorHAnsi"/>
        <w:noProof/>
      </w:rPr>
      <w:fldChar w:fldCharType="end"/>
    </w:r>
    <w:r w:rsidR="00541308">
      <w:t xml:space="preserve"> </w:t>
    </w:r>
  </w:p>
  <w:p w14:paraId="74AEB737" w14:textId="77777777" w:rsidR="00541308" w:rsidRDefault="005413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89522" w14:textId="77777777" w:rsidR="00D74553" w:rsidRDefault="00D74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6AFE6" w14:textId="77777777" w:rsidR="00A0442E" w:rsidRDefault="00A0442E" w:rsidP="00C142DD">
      <w:pPr>
        <w:spacing w:after="0" w:line="240" w:lineRule="auto"/>
      </w:pPr>
      <w:r>
        <w:separator/>
      </w:r>
    </w:p>
  </w:footnote>
  <w:footnote w:type="continuationSeparator" w:id="0">
    <w:p w14:paraId="1FC9A428" w14:textId="77777777" w:rsidR="00A0442E" w:rsidRDefault="00A0442E" w:rsidP="00C14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4A863" w14:textId="77777777" w:rsidR="00D74553" w:rsidRDefault="00D74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3138B" w14:textId="3218A419" w:rsidR="00D74553" w:rsidRDefault="00D74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1D3D4" w14:textId="77777777" w:rsidR="00D74553" w:rsidRDefault="00D74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D6D7E"/>
    <w:multiLevelType w:val="multilevel"/>
    <w:tmpl w:val="A0D2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4543CE"/>
    <w:multiLevelType w:val="multilevel"/>
    <w:tmpl w:val="FE9E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E3"/>
    <w:rsid w:val="00002909"/>
    <w:rsid w:val="00010739"/>
    <w:rsid w:val="00013B3A"/>
    <w:rsid w:val="00024BD4"/>
    <w:rsid w:val="00025E77"/>
    <w:rsid w:val="0003194D"/>
    <w:rsid w:val="0003349C"/>
    <w:rsid w:val="00043ABF"/>
    <w:rsid w:val="000503FE"/>
    <w:rsid w:val="00052E89"/>
    <w:rsid w:val="00054952"/>
    <w:rsid w:val="0006698F"/>
    <w:rsid w:val="00072460"/>
    <w:rsid w:val="000759F0"/>
    <w:rsid w:val="00084A05"/>
    <w:rsid w:val="00095979"/>
    <w:rsid w:val="00096285"/>
    <w:rsid w:val="000B4C88"/>
    <w:rsid w:val="000B622B"/>
    <w:rsid w:val="000B6CC4"/>
    <w:rsid w:val="000B6E07"/>
    <w:rsid w:val="000C54D3"/>
    <w:rsid w:val="000C58BF"/>
    <w:rsid w:val="000C590F"/>
    <w:rsid w:val="000E2D9D"/>
    <w:rsid w:val="000F5BDA"/>
    <w:rsid w:val="000F6B1C"/>
    <w:rsid w:val="000F7758"/>
    <w:rsid w:val="0010163D"/>
    <w:rsid w:val="001054B0"/>
    <w:rsid w:val="001155AA"/>
    <w:rsid w:val="00120978"/>
    <w:rsid w:val="00122365"/>
    <w:rsid w:val="00122A3D"/>
    <w:rsid w:val="00126177"/>
    <w:rsid w:val="00126B19"/>
    <w:rsid w:val="001360F7"/>
    <w:rsid w:val="00142B33"/>
    <w:rsid w:val="00145D21"/>
    <w:rsid w:val="001501DD"/>
    <w:rsid w:val="001512B5"/>
    <w:rsid w:val="00155B21"/>
    <w:rsid w:val="0015797F"/>
    <w:rsid w:val="00160431"/>
    <w:rsid w:val="00162809"/>
    <w:rsid w:val="0016343A"/>
    <w:rsid w:val="00165298"/>
    <w:rsid w:val="00167C4B"/>
    <w:rsid w:val="00182207"/>
    <w:rsid w:val="00183C29"/>
    <w:rsid w:val="00185765"/>
    <w:rsid w:val="00191C0D"/>
    <w:rsid w:val="00192261"/>
    <w:rsid w:val="00194601"/>
    <w:rsid w:val="00195761"/>
    <w:rsid w:val="00195A67"/>
    <w:rsid w:val="00195E77"/>
    <w:rsid w:val="001A1AA8"/>
    <w:rsid w:val="001A63B3"/>
    <w:rsid w:val="001A7A91"/>
    <w:rsid w:val="001B0CE6"/>
    <w:rsid w:val="001C07E5"/>
    <w:rsid w:val="001C1FE3"/>
    <w:rsid w:val="001C66E8"/>
    <w:rsid w:val="001C7B38"/>
    <w:rsid w:val="001C7EAD"/>
    <w:rsid w:val="001D1E94"/>
    <w:rsid w:val="001D78C6"/>
    <w:rsid w:val="001F26BE"/>
    <w:rsid w:val="001F4E38"/>
    <w:rsid w:val="00202E7B"/>
    <w:rsid w:val="00203CFA"/>
    <w:rsid w:val="00205883"/>
    <w:rsid w:val="00212092"/>
    <w:rsid w:val="002150B3"/>
    <w:rsid w:val="00222BC4"/>
    <w:rsid w:val="00226B2D"/>
    <w:rsid w:val="0023204E"/>
    <w:rsid w:val="00234A13"/>
    <w:rsid w:val="0023575E"/>
    <w:rsid w:val="00252A31"/>
    <w:rsid w:val="002721AB"/>
    <w:rsid w:val="002751BD"/>
    <w:rsid w:val="002817AF"/>
    <w:rsid w:val="00282A98"/>
    <w:rsid w:val="002869C4"/>
    <w:rsid w:val="00295353"/>
    <w:rsid w:val="002954D2"/>
    <w:rsid w:val="002A14BE"/>
    <w:rsid w:val="002C42E0"/>
    <w:rsid w:val="002D0A52"/>
    <w:rsid w:val="002D0C13"/>
    <w:rsid w:val="002D41F4"/>
    <w:rsid w:val="002D5460"/>
    <w:rsid w:val="002D66E1"/>
    <w:rsid w:val="002E532F"/>
    <w:rsid w:val="002E68FD"/>
    <w:rsid w:val="002F6CCB"/>
    <w:rsid w:val="00316266"/>
    <w:rsid w:val="00317D2D"/>
    <w:rsid w:val="00323F4F"/>
    <w:rsid w:val="003243A7"/>
    <w:rsid w:val="0033033A"/>
    <w:rsid w:val="00332083"/>
    <w:rsid w:val="00333DD1"/>
    <w:rsid w:val="00334195"/>
    <w:rsid w:val="003401B9"/>
    <w:rsid w:val="00344F90"/>
    <w:rsid w:val="00353156"/>
    <w:rsid w:val="00354F8C"/>
    <w:rsid w:val="00356E3B"/>
    <w:rsid w:val="00360CF1"/>
    <w:rsid w:val="00360D2E"/>
    <w:rsid w:val="003610D8"/>
    <w:rsid w:val="00361411"/>
    <w:rsid w:val="003652E6"/>
    <w:rsid w:val="00365972"/>
    <w:rsid w:val="0037115A"/>
    <w:rsid w:val="003746D9"/>
    <w:rsid w:val="0038137E"/>
    <w:rsid w:val="00382EC2"/>
    <w:rsid w:val="00383694"/>
    <w:rsid w:val="00385B20"/>
    <w:rsid w:val="0039056B"/>
    <w:rsid w:val="003934E8"/>
    <w:rsid w:val="00395B99"/>
    <w:rsid w:val="00396DA2"/>
    <w:rsid w:val="003A03CD"/>
    <w:rsid w:val="003A11F6"/>
    <w:rsid w:val="003A6B66"/>
    <w:rsid w:val="003A73B0"/>
    <w:rsid w:val="003A7560"/>
    <w:rsid w:val="003A7DB2"/>
    <w:rsid w:val="003B3114"/>
    <w:rsid w:val="003D0400"/>
    <w:rsid w:val="003D0676"/>
    <w:rsid w:val="003D4158"/>
    <w:rsid w:val="003D52F5"/>
    <w:rsid w:val="003D583D"/>
    <w:rsid w:val="003D6D1E"/>
    <w:rsid w:val="003E3521"/>
    <w:rsid w:val="003F3C40"/>
    <w:rsid w:val="004038F3"/>
    <w:rsid w:val="004044BC"/>
    <w:rsid w:val="00415EC4"/>
    <w:rsid w:val="00421CBF"/>
    <w:rsid w:val="00427CE2"/>
    <w:rsid w:val="00430B0A"/>
    <w:rsid w:val="00435024"/>
    <w:rsid w:val="00441A68"/>
    <w:rsid w:val="004576AE"/>
    <w:rsid w:val="00457E09"/>
    <w:rsid w:val="0046575F"/>
    <w:rsid w:val="004729A0"/>
    <w:rsid w:val="0047385E"/>
    <w:rsid w:val="0047483A"/>
    <w:rsid w:val="004807BE"/>
    <w:rsid w:val="004823C5"/>
    <w:rsid w:val="00486951"/>
    <w:rsid w:val="004904EB"/>
    <w:rsid w:val="00491122"/>
    <w:rsid w:val="004A68F0"/>
    <w:rsid w:val="004A7A15"/>
    <w:rsid w:val="004C381C"/>
    <w:rsid w:val="004D0628"/>
    <w:rsid w:val="004D09D6"/>
    <w:rsid w:val="004D5274"/>
    <w:rsid w:val="004E01D4"/>
    <w:rsid w:val="004F0676"/>
    <w:rsid w:val="004F68F1"/>
    <w:rsid w:val="005003C1"/>
    <w:rsid w:val="00504117"/>
    <w:rsid w:val="00507076"/>
    <w:rsid w:val="00514226"/>
    <w:rsid w:val="00514881"/>
    <w:rsid w:val="00523FB7"/>
    <w:rsid w:val="00524387"/>
    <w:rsid w:val="00531194"/>
    <w:rsid w:val="00541308"/>
    <w:rsid w:val="0054628A"/>
    <w:rsid w:val="0056439B"/>
    <w:rsid w:val="00582DFA"/>
    <w:rsid w:val="005A46A8"/>
    <w:rsid w:val="005A4B0D"/>
    <w:rsid w:val="005A7A50"/>
    <w:rsid w:val="005B1F2A"/>
    <w:rsid w:val="005D0CB0"/>
    <w:rsid w:val="005E4CA7"/>
    <w:rsid w:val="005F3FC7"/>
    <w:rsid w:val="006016BE"/>
    <w:rsid w:val="00601DD5"/>
    <w:rsid w:val="00604CD9"/>
    <w:rsid w:val="006058CA"/>
    <w:rsid w:val="00612E18"/>
    <w:rsid w:val="006136D8"/>
    <w:rsid w:val="00617584"/>
    <w:rsid w:val="0061761C"/>
    <w:rsid w:val="00621165"/>
    <w:rsid w:val="00626CEB"/>
    <w:rsid w:val="00655E48"/>
    <w:rsid w:val="00656896"/>
    <w:rsid w:val="00657B56"/>
    <w:rsid w:val="00661EB2"/>
    <w:rsid w:val="00662BC7"/>
    <w:rsid w:val="0066717D"/>
    <w:rsid w:val="0067319A"/>
    <w:rsid w:val="00674EE4"/>
    <w:rsid w:val="00680226"/>
    <w:rsid w:val="0068531C"/>
    <w:rsid w:val="0069322E"/>
    <w:rsid w:val="0069612D"/>
    <w:rsid w:val="006A3C1D"/>
    <w:rsid w:val="006B2D89"/>
    <w:rsid w:val="006B4638"/>
    <w:rsid w:val="006B4822"/>
    <w:rsid w:val="006B4FA9"/>
    <w:rsid w:val="006C1C3B"/>
    <w:rsid w:val="006C55B0"/>
    <w:rsid w:val="006D4581"/>
    <w:rsid w:val="006D67F2"/>
    <w:rsid w:val="006E11E3"/>
    <w:rsid w:val="006E14DA"/>
    <w:rsid w:val="006F5D5B"/>
    <w:rsid w:val="006F6015"/>
    <w:rsid w:val="00703DF9"/>
    <w:rsid w:val="00706108"/>
    <w:rsid w:val="00720C16"/>
    <w:rsid w:val="007210B6"/>
    <w:rsid w:val="007256FE"/>
    <w:rsid w:val="00727B99"/>
    <w:rsid w:val="00727CEE"/>
    <w:rsid w:val="007358A2"/>
    <w:rsid w:val="007404EA"/>
    <w:rsid w:val="0074354B"/>
    <w:rsid w:val="00746F60"/>
    <w:rsid w:val="007508AC"/>
    <w:rsid w:val="00750DDD"/>
    <w:rsid w:val="007556F6"/>
    <w:rsid w:val="00755F52"/>
    <w:rsid w:val="0076336D"/>
    <w:rsid w:val="00763ADA"/>
    <w:rsid w:val="00771BD6"/>
    <w:rsid w:val="00786D3E"/>
    <w:rsid w:val="007875BF"/>
    <w:rsid w:val="00790F2F"/>
    <w:rsid w:val="00791E95"/>
    <w:rsid w:val="00797733"/>
    <w:rsid w:val="007A13AA"/>
    <w:rsid w:val="007A6185"/>
    <w:rsid w:val="007B40E1"/>
    <w:rsid w:val="007B63E5"/>
    <w:rsid w:val="007B7878"/>
    <w:rsid w:val="007D5316"/>
    <w:rsid w:val="007E1715"/>
    <w:rsid w:val="007E1D23"/>
    <w:rsid w:val="007E36A7"/>
    <w:rsid w:val="007E6486"/>
    <w:rsid w:val="007E6CFA"/>
    <w:rsid w:val="007F7B06"/>
    <w:rsid w:val="008003D9"/>
    <w:rsid w:val="00800BA0"/>
    <w:rsid w:val="00807570"/>
    <w:rsid w:val="00814A33"/>
    <w:rsid w:val="00831F4B"/>
    <w:rsid w:val="008327B4"/>
    <w:rsid w:val="008345E3"/>
    <w:rsid w:val="008448E8"/>
    <w:rsid w:val="0084556D"/>
    <w:rsid w:val="00845B9E"/>
    <w:rsid w:val="0084763A"/>
    <w:rsid w:val="0086094A"/>
    <w:rsid w:val="00865207"/>
    <w:rsid w:val="00885FD1"/>
    <w:rsid w:val="00895196"/>
    <w:rsid w:val="00896B3E"/>
    <w:rsid w:val="008A65A2"/>
    <w:rsid w:val="008A7627"/>
    <w:rsid w:val="008A7E74"/>
    <w:rsid w:val="008B034C"/>
    <w:rsid w:val="008B7393"/>
    <w:rsid w:val="008C311E"/>
    <w:rsid w:val="008C65AF"/>
    <w:rsid w:val="008D07CF"/>
    <w:rsid w:val="008D4A98"/>
    <w:rsid w:val="008F5080"/>
    <w:rsid w:val="008F5C71"/>
    <w:rsid w:val="008F60C3"/>
    <w:rsid w:val="00905541"/>
    <w:rsid w:val="0091372C"/>
    <w:rsid w:val="00922B7D"/>
    <w:rsid w:val="00922C1A"/>
    <w:rsid w:val="00945E72"/>
    <w:rsid w:val="00946FF5"/>
    <w:rsid w:val="00952DB2"/>
    <w:rsid w:val="00955C51"/>
    <w:rsid w:val="0096334E"/>
    <w:rsid w:val="00970541"/>
    <w:rsid w:val="009750C8"/>
    <w:rsid w:val="00981A54"/>
    <w:rsid w:val="00982104"/>
    <w:rsid w:val="00983CA4"/>
    <w:rsid w:val="00993DAF"/>
    <w:rsid w:val="00995A08"/>
    <w:rsid w:val="009A26F6"/>
    <w:rsid w:val="009A287A"/>
    <w:rsid w:val="009A371F"/>
    <w:rsid w:val="009A4E15"/>
    <w:rsid w:val="009B2977"/>
    <w:rsid w:val="009B7CBE"/>
    <w:rsid w:val="009C328B"/>
    <w:rsid w:val="009C515A"/>
    <w:rsid w:val="009D5A22"/>
    <w:rsid w:val="009F5D17"/>
    <w:rsid w:val="00A02C88"/>
    <w:rsid w:val="00A03458"/>
    <w:rsid w:val="00A04317"/>
    <w:rsid w:val="00A0442E"/>
    <w:rsid w:val="00A061D7"/>
    <w:rsid w:val="00A31779"/>
    <w:rsid w:val="00A34F90"/>
    <w:rsid w:val="00A43597"/>
    <w:rsid w:val="00A457F3"/>
    <w:rsid w:val="00A46964"/>
    <w:rsid w:val="00A504C0"/>
    <w:rsid w:val="00A5221B"/>
    <w:rsid w:val="00A526A5"/>
    <w:rsid w:val="00A52A44"/>
    <w:rsid w:val="00A645DC"/>
    <w:rsid w:val="00A6655C"/>
    <w:rsid w:val="00A67D30"/>
    <w:rsid w:val="00A75476"/>
    <w:rsid w:val="00A8266D"/>
    <w:rsid w:val="00A83655"/>
    <w:rsid w:val="00A900A8"/>
    <w:rsid w:val="00A91503"/>
    <w:rsid w:val="00A93874"/>
    <w:rsid w:val="00A93A51"/>
    <w:rsid w:val="00A949A1"/>
    <w:rsid w:val="00A97160"/>
    <w:rsid w:val="00AA01F3"/>
    <w:rsid w:val="00AA7B4B"/>
    <w:rsid w:val="00AC3498"/>
    <w:rsid w:val="00AD4F4E"/>
    <w:rsid w:val="00AE0D8C"/>
    <w:rsid w:val="00AE0FA1"/>
    <w:rsid w:val="00AE24BD"/>
    <w:rsid w:val="00AE25B7"/>
    <w:rsid w:val="00AE2E89"/>
    <w:rsid w:val="00AE4E56"/>
    <w:rsid w:val="00AF0078"/>
    <w:rsid w:val="00AF23DE"/>
    <w:rsid w:val="00AF3A0B"/>
    <w:rsid w:val="00B12D1A"/>
    <w:rsid w:val="00B23F3E"/>
    <w:rsid w:val="00B247C7"/>
    <w:rsid w:val="00B25A9A"/>
    <w:rsid w:val="00B26DC5"/>
    <w:rsid w:val="00B32D53"/>
    <w:rsid w:val="00B3324B"/>
    <w:rsid w:val="00B371F5"/>
    <w:rsid w:val="00B37AEE"/>
    <w:rsid w:val="00B40EFF"/>
    <w:rsid w:val="00B43D28"/>
    <w:rsid w:val="00B4599E"/>
    <w:rsid w:val="00B507D2"/>
    <w:rsid w:val="00B55192"/>
    <w:rsid w:val="00B64E38"/>
    <w:rsid w:val="00B654DC"/>
    <w:rsid w:val="00B70409"/>
    <w:rsid w:val="00B72578"/>
    <w:rsid w:val="00B75556"/>
    <w:rsid w:val="00B76190"/>
    <w:rsid w:val="00B84E18"/>
    <w:rsid w:val="00B85A82"/>
    <w:rsid w:val="00B87CB7"/>
    <w:rsid w:val="00B97816"/>
    <w:rsid w:val="00BA6A05"/>
    <w:rsid w:val="00BA7B89"/>
    <w:rsid w:val="00BB0FD1"/>
    <w:rsid w:val="00BB23B0"/>
    <w:rsid w:val="00BB2489"/>
    <w:rsid w:val="00BB61EE"/>
    <w:rsid w:val="00BB731F"/>
    <w:rsid w:val="00BC1FAB"/>
    <w:rsid w:val="00BC28B2"/>
    <w:rsid w:val="00BC6E46"/>
    <w:rsid w:val="00BD693B"/>
    <w:rsid w:val="00BE2A08"/>
    <w:rsid w:val="00BE4C2A"/>
    <w:rsid w:val="00BE6795"/>
    <w:rsid w:val="00BF3847"/>
    <w:rsid w:val="00BF71A2"/>
    <w:rsid w:val="00C13912"/>
    <w:rsid w:val="00C142DD"/>
    <w:rsid w:val="00C16A16"/>
    <w:rsid w:val="00C17059"/>
    <w:rsid w:val="00C220EB"/>
    <w:rsid w:val="00C2284D"/>
    <w:rsid w:val="00C32B53"/>
    <w:rsid w:val="00C43DAA"/>
    <w:rsid w:val="00C724A3"/>
    <w:rsid w:val="00C72C7B"/>
    <w:rsid w:val="00C769C8"/>
    <w:rsid w:val="00C802AD"/>
    <w:rsid w:val="00C84338"/>
    <w:rsid w:val="00C874E2"/>
    <w:rsid w:val="00CA2D27"/>
    <w:rsid w:val="00CB56F5"/>
    <w:rsid w:val="00CB67EA"/>
    <w:rsid w:val="00CC4E81"/>
    <w:rsid w:val="00CD282F"/>
    <w:rsid w:val="00CD2BD2"/>
    <w:rsid w:val="00CD36BC"/>
    <w:rsid w:val="00CD6F03"/>
    <w:rsid w:val="00CD7614"/>
    <w:rsid w:val="00CF281A"/>
    <w:rsid w:val="00CF6E09"/>
    <w:rsid w:val="00D01108"/>
    <w:rsid w:val="00D021B5"/>
    <w:rsid w:val="00D0363A"/>
    <w:rsid w:val="00D21E02"/>
    <w:rsid w:val="00D22BCC"/>
    <w:rsid w:val="00D2664F"/>
    <w:rsid w:val="00D302B0"/>
    <w:rsid w:val="00D30D6D"/>
    <w:rsid w:val="00D37676"/>
    <w:rsid w:val="00D42588"/>
    <w:rsid w:val="00D474E6"/>
    <w:rsid w:val="00D52CE1"/>
    <w:rsid w:val="00D52E58"/>
    <w:rsid w:val="00D539AA"/>
    <w:rsid w:val="00D54349"/>
    <w:rsid w:val="00D6305D"/>
    <w:rsid w:val="00D66820"/>
    <w:rsid w:val="00D67A41"/>
    <w:rsid w:val="00D67E62"/>
    <w:rsid w:val="00D74553"/>
    <w:rsid w:val="00D7515D"/>
    <w:rsid w:val="00D753E6"/>
    <w:rsid w:val="00D843DC"/>
    <w:rsid w:val="00D85965"/>
    <w:rsid w:val="00D93492"/>
    <w:rsid w:val="00D9353F"/>
    <w:rsid w:val="00D97109"/>
    <w:rsid w:val="00DA604B"/>
    <w:rsid w:val="00DA798E"/>
    <w:rsid w:val="00DB52DA"/>
    <w:rsid w:val="00DB735D"/>
    <w:rsid w:val="00DC0B43"/>
    <w:rsid w:val="00DC1E68"/>
    <w:rsid w:val="00DC53AF"/>
    <w:rsid w:val="00DD03F7"/>
    <w:rsid w:val="00DD0907"/>
    <w:rsid w:val="00DD23FB"/>
    <w:rsid w:val="00DE260B"/>
    <w:rsid w:val="00DF3A33"/>
    <w:rsid w:val="00DF51B8"/>
    <w:rsid w:val="00DF750A"/>
    <w:rsid w:val="00E00025"/>
    <w:rsid w:val="00E00105"/>
    <w:rsid w:val="00E00142"/>
    <w:rsid w:val="00E0221C"/>
    <w:rsid w:val="00E0289D"/>
    <w:rsid w:val="00E04C5A"/>
    <w:rsid w:val="00E10835"/>
    <w:rsid w:val="00E12F20"/>
    <w:rsid w:val="00E1311F"/>
    <w:rsid w:val="00E1318D"/>
    <w:rsid w:val="00E14A5A"/>
    <w:rsid w:val="00E1752E"/>
    <w:rsid w:val="00E20079"/>
    <w:rsid w:val="00E31560"/>
    <w:rsid w:val="00E32E2E"/>
    <w:rsid w:val="00E35327"/>
    <w:rsid w:val="00E3590E"/>
    <w:rsid w:val="00E4196E"/>
    <w:rsid w:val="00E42C82"/>
    <w:rsid w:val="00E517C0"/>
    <w:rsid w:val="00E54E09"/>
    <w:rsid w:val="00E56D89"/>
    <w:rsid w:val="00E60068"/>
    <w:rsid w:val="00E67DA3"/>
    <w:rsid w:val="00E715E0"/>
    <w:rsid w:val="00E80AE9"/>
    <w:rsid w:val="00EC30C1"/>
    <w:rsid w:val="00EC4EEB"/>
    <w:rsid w:val="00EC62F8"/>
    <w:rsid w:val="00EC7E88"/>
    <w:rsid w:val="00ED3DA6"/>
    <w:rsid w:val="00F020CD"/>
    <w:rsid w:val="00F05469"/>
    <w:rsid w:val="00F10391"/>
    <w:rsid w:val="00F14D5F"/>
    <w:rsid w:val="00F20AC2"/>
    <w:rsid w:val="00F26F6B"/>
    <w:rsid w:val="00F332DB"/>
    <w:rsid w:val="00F34081"/>
    <w:rsid w:val="00F50C38"/>
    <w:rsid w:val="00F569D2"/>
    <w:rsid w:val="00F7217F"/>
    <w:rsid w:val="00F81675"/>
    <w:rsid w:val="00F86658"/>
    <w:rsid w:val="00F973C8"/>
    <w:rsid w:val="00FA17AD"/>
    <w:rsid w:val="00FB30F1"/>
    <w:rsid w:val="00FC0D1D"/>
    <w:rsid w:val="00FC18C3"/>
    <w:rsid w:val="00FC3B31"/>
    <w:rsid w:val="00FC5D37"/>
    <w:rsid w:val="00FD63C5"/>
    <w:rsid w:val="00FE5431"/>
    <w:rsid w:val="00FF3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EB708"/>
  <w15:docId w15:val="{576D6E49-6948-4F4D-8DC7-708A2555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C1FE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nhideWhenUsed/>
    <w:qFormat/>
    <w:rsid w:val="001C1FE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/>
    </w:rPr>
  </w:style>
  <w:style w:type="paragraph" w:styleId="Heading3">
    <w:name w:val="heading 3"/>
    <w:basedOn w:val="Normal"/>
    <w:next w:val="Normal"/>
    <w:link w:val="Heading3Char"/>
    <w:qFormat/>
    <w:rsid w:val="00F973C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1C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F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1F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1C1FE3"/>
    <w:rPr>
      <w:rFonts w:ascii="Arial" w:eastAsia="Times New Roman" w:hAnsi="Arial" w:cs="Arial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rsid w:val="001C1F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/>
    </w:rPr>
  </w:style>
  <w:style w:type="paragraph" w:styleId="ListParagraph">
    <w:name w:val="List Paragraph"/>
    <w:basedOn w:val="Normal"/>
    <w:uiPriority w:val="34"/>
    <w:qFormat/>
    <w:rsid w:val="001C1F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Strong">
    <w:name w:val="Strong"/>
    <w:basedOn w:val="DefaultParagraphFont"/>
    <w:uiPriority w:val="22"/>
    <w:qFormat/>
    <w:rsid w:val="001C1FE3"/>
    <w:rPr>
      <w:b/>
      <w:bCs/>
    </w:rPr>
  </w:style>
  <w:style w:type="paragraph" w:styleId="NormalWeb">
    <w:name w:val="Normal (Web)"/>
    <w:basedOn w:val="Normal"/>
    <w:uiPriority w:val="99"/>
    <w:unhideWhenUsed/>
    <w:rsid w:val="001C1FE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C14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2DD"/>
  </w:style>
  <w:style w:type="paragraph" w:styleId="Footer">
    <w:name w:val="footer"/>
    <w:basedOn w:val="Normal"/>
    <w:link w:val="FooterChar"/>
    <w:uiPriority w:val="99"/>
    <w:unhideWhenUsed/>
    <w:rsid w:val="00C14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2DD"/>
  </w:style>
  <w:style w:type="character" w:customStyle="1" w:styleId="Heading3Char">
    <w:name w:val="Heading 3 Char"/>
    <w:basedOn w:val="DefaultParagraphFont"/>
    <w:link w:val="Heading3"/>
    <w:rsid w:val="00F973C8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basedOn w:val="DefaultParagraphFont"/>
    <w:rsid w:val="00F973C8"/>
    <w:rPr>
      <w:color w:val="0000FF"/>
      <w:u w:val="single"/>
    </w:rPr>
  </w:style>
  <w:style w:type="character" w:styleId="FollowedHyperlink">
    <w:name w:val="FollowedHyperlink"/>
    <w:basedOn w:val="DefaultParagraphFont"/>
    <w:rsid w:val="00F973C8"/>
    <w:rPr>
      <w:color w:val="800080"/>
      <w:u w:val="single"/>
    </w:rPr>
  </w:style>
  <w:style w:type="paragraph" w:styleId="TOC1">
    <w:name w:val="toc 1"/>
    <w:basedOn w:val="Normal"/>
    <w:next w:val="Normal"/>
    <w:autoRedefine/>
    <w:semiHidden/>
    <w:rsid w:val="00F97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973C8"/>
  </w:style>
  <w:style w:type="paragraph" w:styleId="TOC2">
    <w:name w:val="toc 2"/>
    <w:basedOn w:val="Normal"/>
    <w:next w:val="Normal"/>
    <w:autoRedefine/>
    <w:semiHidden/>
    <w:rsid w:val="00F973C8"/>
    <w:pPr>
      <w:tabs>
        <w:tab w:val="left" w:pos="720"/>
        <w:tab w:val="right" w:leader="dot" w:pos="863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semiHidden/>
    <w:rsid w:val="00F973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97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973C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97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73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F97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73C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F973C8"/>
    <w:rPr>
      <w:vertAlign w:val="superscript"/>
    </w:rPr>
  </w:style>
  <w:style w:type="paragraph" w:customStyle="1" w:styleId="subhead">
    <w:name w:val="subhead"/>
    <w:basedOn w:val="Normal"/>
    <w:rsid w:val="00F9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rsid w:val="00F973C8"/>
  </w:style>
  <w:style w:type="character" w:customStyle="1" w:styleId="Heading3Char1">
    <w:name w:val="Heading 3 Char1"/>
    <w:aliases w:val="Heading 3 Char Char"/>
    <w:basedOn w:val="DefaultParagraphFont"/>
    <w:rsid w:val="003746D9"/>
    <w:rPr>
      <w:rFonts w:ascii="Arial" w:hAnsi="Arial" w:cs="Arial" w:hint="default"/>
      <w:b/>
      <w:bCs/>
      <w:sz w:val="26"/>
      <w:szCs w:val="26"/>
      <w:lang w:val="en-US" w:eastAsia="en-US" w:bidi="ar-SA"/>
    </w:rPr>
  </w:style>
  <w:style w:type="paragraph" w:styleId="Revision">
    <w:name w:val="Revision"/>
    <w:hidden/>
    <w:uiPriority w:val="99"/>
    <w:semiHidden/>
    <w:rsid w:val="00DF75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4" Type="http://schemas.microsoft.com/office/2018/08/relationships/commentsExtensible" Target="commentsExtensible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EBBE804464E43B884E5F8BAF3AFD3" ma:contentTypeVersion="0" ma:contentTypeDescription="Create a new document." ma:contentTypeScope="" ma:versionID="3e427c30f672e1b539117f6e060d94e0">
  <xsd:schema xmlns:xsd="http://www.w3.org/2001/XMLSchema" xmlns:xs="http://www.w3.org/2001/XMLSchema" xmlns:p="http://schemas.microsoft.com/office/2006/metadata/properties" xmlns:ns2="83167023-aa2f-471e-adf3-b454d2cf230a" targetNamespace="http://schemas.microsoft.com/office/2006/metadata/properties" ma:root="true" ma:fieldsID="9979149766836b4a9e2d6a1249abebcc" ns2:_="">
    <xsd:import namespace="83167023-aa2f-471e-adf3-b454d2cf23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67023-aa2f-471e-adf3-b454d2cf23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c61bd8-84a8-4947-b76a-4533e2223c28" xsi:nil="true"/>
    <lcf76f155ced4ddcb4097134ff3c332f xmlns="63fcf94a-36c4-4a06-a9fc-2b36d1a5f5c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984356D98274E9A27E82B93A8AEC3" ma:contentTypeVersion="9" ma:contentTypeDescription="Create a new document." ma:contentTypeScope="" ma:versionID="70a32bd6544f486dda39361759c4976b">
  <xsd:schema xmlns:xsd="http://www.w3.org/2001/XMLSchema" xmlns:xs="http://www.w3.org/2001/XMLSchema" xmlns:p="http://schemas.microsoft.com/office/2006/metadata/properties" xmlns:ns2="63fcf94a-36c4-4a06-a9fc-2b36d1a5f5c7" xmlns:ns3="2ac61bd8-84a8-4947-b76a-4533e2223c28" targetNamespace="http://schemas.microsoft.com/office/2006/metadata/properties" ma:root="true" ma:fieldsID="08417cf1fdd876b10d1378d81576ea98" ns2:_="" ns3:_="">
    <xsd:import namespace="63fcf94a-36c4-4a06-a9fc-2b36d1a5f5c7"/>
    <xsd:import namespace="2ac61bd8-84a8-4947-b76a-4533e2223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cf94a-36c4-4a06-a9fc-2b36d1a5f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547cd02-34d2-4a7a-a02d-401be11f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61bd8-84a8-4947-b76a-4533e2223c2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a6dfb92-d4ec-454c-9630-457c40b5e09f}" ma:internalName="TaxCatchAll" ma:showField="CatchAllData" ma:web="2ac61bd8-84a8-4947-b76a-4533e2223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EFA86-F4F5-48F8-89D6-56EA24B5E5D7}"/>
</file>

<file path=customXml/itemProps2.xml><?xml version="1.0" encoding="utf-8"?>
<ds:datastoreItem xmlns:ds="http://schemas.openxmlformats.org/officeDocument/2006/customXml" ds:itemID="{92F52992-73AB-49AF-AC7C-7B741007F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3289FB-EFB3-4EAF-84C7-CCA4D1BBD613}">
  <ds:schemaRefs>
    <ds:schemaRef ds:uri="http://schemas.microsoft.com/office/2006/documentManagement/types"/>
    <ds:schemaRef ds:uri="3a707f03-e06c-4c61-a929-6f249483c146"/>
    <ds:schemaRef ds:uri="http://purl.org/dc/elements/1.1/"/>
    <ds:schemaRef ds:uri="http://purl.org/dc/terms/"/>
    <ds:schemaRef ds:uri="http://schemas.microsoft.com/office/2006/metadata/properties"/>
    <ds:schemaRef ds:uri="4830ea6b-39db-40e8-94a4-4d7183afcea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9F8EECD-DFB6-409E-91D2-67D3CE73FB1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F4F92A6-7C1C-4F14-9C07-2D4759C515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MSVU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Veronica Bacher</cp:lastModifiedBy>
  <cp:revision>2</cp:revision>
  <cp:lastPrinted>2012-10-30T13:19:00Z</cp:lastPrinted>
  <dcterms:created xsi:type="dcterms:W3CDTF">2022-04-13T17:15:00Z</dcterms:created>
  <dcterms:modified xsi:type="dcterms:W3CDTF">2022-04-13T17:15:00Z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0x01010056E984356D98274E9A27E82B93A8AEC3</vt:lpwstr>
  </property>
</Properties>
</file>