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635"/>
      </w:tblGrid>
      <w:tr w:rsidR="001C1FE3" w14:paraId="0293CB35" w14:textId="77777777" w:rsidTr="008F77A6">
        <w:tc>
          <w:tcPr>
            <w:tcW w:w="4788" w:type="dxa"/>
          </w:tcPr>
          <w:p w14:paraId="771B96C2" w14:textId="77777777" w:rsidR="001C1FE3" w:rsidRDefault="008F77A6" w:rsidP="008F77A6">
            <w:r>
              <w:rPr>
                <w:noProof/>
              </w:rPr>
              <w:drawing>
                <wp:inline distT="0" distB="0" distL="0" distR="0" wp14:anchorId="0C80D2F1" wp14:editId="45291256">
                  <wp:extent cx="2286000" cy="7356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VU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735676"/>
                          </a:xfrm>
                          <a:prstGeom prst="rect">
                            <a:avLst/>
                          </a:prstGeom>
                        </pic:spPr>
                      </pic:pic>
                    </a:graphicData>
                  </a:graphic>
                </wp:inline>
              </w:drawing>
            </w:r>
          </w:p>
        </w:tc>
        <w:tc>
          <w:tcPr>
            <w:tcW w:w="4788" w:type="dxa"/>
          </w:tcPr>
          <w:p w14:paraId="787383CA" w14:textId="77777777" w:rsidR="001C1FE3" w:rsidRPr="001C1FE3" w:rsidRDefault="00E517C0" w:rsidP="008F77A6">
            <w:pPr>
              <w:jc w:val="right"/>
              <w:rPr>
                <w:b/>
                <w:sz w:val="44"/>
                <w:szCs w:val="44"/>
              </w:rPr>
            </w:pPr>
            <w:r>
              <w:rPr>
                <w:b/>
                <w:sz w:val="44"/>
                <w:szCs w:val="44"/>
              </w:rPr>
              <w:t>Committee on Research and Publications</w:t>
            </w:r>
          </w:p>
        </w:tc>
      </w:tr>
    </w:tbl>
    <w:p w14:paraId="7AE7563D" w14:textId="77777777" w:rsidR="001C1FE3" w:rsidRDefault="001C1FE3" w:rsidP="001C1FE3">
      <w:pPr>
        <w:spacing w:after="0" w:line="240" w:lineRule="auto"/>
        <w:jc w:val="center"/>
        <w:rPr>
          <w:b/>
          <w:sz w:val="24"/>
          <w:szCs w:val="24"/>
        </w:rPr>
      </w:pPr>
    </w:p>
    <w:p w14:paraId="17E465E4" w14:textId="77777777" w:rsidR="001C1FE3" w:rsidRPr="001C1FE3" w:rsidRDefault="001C1FE3" w:rsidP="001C1FE3">
      <w:pPr>
        <w:spacing w:after="0" w:line="240" w:lineRule="auto"/>
        <w:jc w:val="center"/>
        <w:rPr>
          <w:b/>
          <w:sz w:val="24"/>
          <w:szCs w:val="24"/>
        </w:rPr>
      </w:pPr>
    </w:p>
    <w:tbl>
      <w:tblPr>
        <w:tblStyle w:val="TableGrid"/>
        <w:tblW w:w="0" w:type="auto"/>
        <w:tblLook w:val="04A0" w:firstRow="1" w:lastRow="0" w:firstColumn="1" w:lastColumn="0" w:noHBand="0" w:noVBand="1"/>
      </w:tblPr>
      <w:tblGrid>
        <w:gridCol w:w="2324"/>
        <w:gridCol w:w="7026"/>
      </w:tblGrid>
      <w:tr w:rsidR="001C1FE3" w:rsidRPr="00F973C8" w14:paraId="70DCEF45" w14:textId="77777777" w:rsidTr="001C1FE3">
        <w:tc>
          <w:tcPr>
            <w:tcW w:w="2358" w:type="dxa"/>
          </w:tcPr>
          <w:p w14:paraId="30258C75" w14:textId="77777777" w:rsidR="001C1FE3" w:rsidRPr="00F973C8" w:rsidRDefault="00E517C0" w:rsidP="00C142DD">
            <w:pPr>
              <w:rPr>
                <w:rFonts w:asciiTheme="majorHAnsi" w:hAnsiTheme="majorHAnsi" w:cs="Arial"/>
                <w:sz w:val="24"/>
                <w:szCs w:val="24"/>
              </w:rPr>
            </w:pPr>
            <w:r w:rsidRPr="00F973C8">
              <w:rPr>
                <w:rFonts w:asciiTheme="majorHAnsi" w:hAnsiTheme="majorHAnsi" w:cs="Arial"/>
                <w:sz w:val="24"/>
                <w:szCs w:val="24"/>
              </w:rPr>
              <w:t>DOC</w:t>
            </w:r>
            <w:r w:rsidR="001C1FE3" w:rsidRPr="00F973C8">
              <w:rPr>
                <w:rFonts w:asciiTheme="majorHAnsi" w:hAnsiTheme="majorHAnsi" w:cs="Arial"/>
                <w:sz w:val="24"/>
                <w:szCs w:val="24"/>
              </w:rPr>
              <w:t xml:space="preserve"> #</w:t>
            </w:r>
          </w:p>
        </w:tc>
        <w:tc>
          <w:tcPr>
            <w:tcW w:w="7200" w:type="dxa"/>
          </w:tcPr>
          <w:p w14:paraId="2B8A39EC" w14:textId="77777777" w:rsidR="001C1FE3" w:rsidRPr="00F973C8" w:rsidRDefault="00E517C0" w:rsidP="001E30F7">
            <w:pPr>
              <w:rPr>
                <w:rFonts w:asciiTheme="majorHAnsi" w:hAnsiTheme="majorHAnsi" w:cs="Arial"/>
                <w:sz w:val="24"/>
                <w:szCs w:val="24"/>
              </w:rPr>
            </w:pPr>
            <w:r w:rsidRPr="00F973C8">
              <w:rPr>
                <w:rFonts w:asciiTheme="majorHAnsi" w:hAnsiTheme="majorHAnsi" w:cs="Arial"/>
                <w:sz w:val="24"/>
                <w:szCs w:val="24"/>
              </w:rPr>
              <w:t>CR</w:t>
            </w:r>
            <w:r w:rsidR="007E6486" w:rsidRPr="00F973C8">
              <w:rPr>
                <w:rFonts w:asciiTheme="majorHAnsi" w:hAnsiTheme="majorHAnsi" w:cs="Arial"/>
                <w:sz w:val="24"/>
                <w:szCs w:val="24"/>
              </w:rPr>
              <w:t>P.</w:t>
            </w:r>
            <w:r w:rsidR="001E30F7">
              <w:rPr>
                <w:rFonts w:asciiTheme="majorHAnsi" w:hAnsiTheme="majorHAnsi" w:cs="Arial"/>
                <w:sz w:val="24"/>
                <w:szCs w:val="24"/>
              </w:rPr>
              <w:t>SOP.004</w:t>
            </w:r>
          </w:p>
        </w:tc>
      </w:tr>
      <w:tr w:rsidR="001C1FE3" w:rsidRPr="00F973C8" w14:paraId="7B3AB982" w14:textId="77777777" w:rsidTr="001C1FE3">
        <w:tc>
          <w:tcPr>
            <w:tcW w:w="2358" w:type="dxa"/>
          </w:tcPr>
          <w:p w14:paraId="66D4106B"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Title</w:t>
            </w:r>
          </w:p>
        </w:tc>
        <w:tc>
          <w:tcPr>
            <w:tcW w:w="7200" w:type="dxa"/>
          </w:tcPr>
          <w:p w14:paraId="7086B781" w14:textId="77777777" w:rsidR="001C1FE3" w:rsidRPr="00F973C8" w:rsidRDefault="002F4F8E" w:rsidP="00F973C8">
            <w:pPr>
              <w:rPr>
                <w:rFonts w:asciiTheme="majorHAnsi" w:hAnsiTheme="majorHAnsi" w:cs="Arial"/>
                <w:b/>
                <w:sz w:val="24"/>
                <w:szCs w:val="24"/>
              </w:rPr>
            </w:pPr>
            <w:r>
              <w:rPr>
                <w:rFonts w:asciiTheme="majorHAnsi" w:hAnsiTheme="majorHAnsi"/>
                <w:b/>
                <w:sz w:val="24"/>
                <w:szCs w:val="24"/>
              </w:rPr>
              <w:t>Budget Management</w:t>
            </w:r>
          </w:p>
        </w:tc>
      </w:tr>
      <w:tr w:rsidR="003243A7" w:rsidRPr="00F973C8" w14:paraId="76B8FA8C" w14:textId="77777777" w:rsidTr="001C1FE3">
        <w:tc>
          <w:tcPr>
            <w:tcW w:w="2358" w:type="dxa"/>
          </w:tcPr>
          <w:p w14:paraId="16EBB4ED" w14:textId="77777777" w:rsidR="003243A7" w:rsidRPr="00F973C8" w:rsidRDefault="003243A7" w:rsidP="00C142DD">
            <w:pPr>
              <w:rPr>
                <w:rFonts w:asciiTheme="majorHAnsi" w:hAnsiTheme="majorHAnsi" w:cs="Arial"/>
                <w:sz w:val="24"/>
                <w:szCs w:val="24"/>
              </w:rPr>
            </w:pPr>
            <w:r>
              <w:rPr>
                <w:rFonts w:asciiTheme="majorHAnsi" w:hAnsiTheme="majorHAnsi" w:cs="Arial"/>
                <w:sz w:val="24"/>
                <w:szCs w:val="24"/>
              </w:rPr>
              <w:t>Document Type</w:t>
            </w:r>
          </w:p>
        </w:tc>
        <w:tc>
          <w:tcPr>
            <w:tcW w:w="7200" w:type="dxa"/>
          </w:tcPr>
          <w:p w14:paraId="6B88B5F2" w14:textId="77777777" w:rsidR="003243A7" w:rsidRPr="003243A7" w:rsidRDefault="003E5C7D" w:rsidP="00F973C8">
            <w:pPr>
              <w:rPr>
                <w:rFonts w:asciiTheme="majorHAnsi" w:hAnsiTheme="majorHAnsi"/>
                <w:sz w:val="24"/>
                <w:szCs w:val="24"/>
              </w:rPr>
            </w:pPr>
            <w:r>
              <w:rPr>
                <w:rFonts w:asciiTheme="majorHAnsi" w:hAnsiTheme="majorHAnsi"/>
                <w:sz w:val="24"/>
                <w:szCs w:val="24"/>
              </w:rPr>
              <w:t>Information</w:t>
            </w:r>
          </w:p>
        </w:tc>
      </w:tr>
      <w:tr w:rsidR="001C1FE3" w:rsidRPr="00F973C8" w14:paraId="5F0B4C3F" w14:textId="77777777" w:rsidTr="001C1FE3">
        <w:tc>
          <w:tcPr>
            <w:tcW w:w="2358" w:type="dxa"/>
          </w:tcPr>
          <w:p w14:paraId="3170D3F5"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Effective Date</w:t>
            </w:r>
          </w:p>
        </w:tc>
        <w:tc>
          <w:tcPr>
            <w:tcW w:w="7200" w:type="dxa"/>
          </w:tcPr>
          <w:p w14:paraId="508024A9" w14:textId="3098A996" w:rsidR="001C1FE3" w:rsidRPr="00F973C8" w:rsidRDefault="003A6500" w:rsidP="00C85F16">
            <w:pPr>
              <w:rPr>
                <w:rFonts w:asciiTheme="majorHAnsi" w:hAnsiTheme="majorHAnsi" w:cs="Arial"/>
                <w:sz w:val="24"/>
                <w:szCs w:val="24"/>
              </w:rPr>
            </w:pPr>
            <w:r>
              <w:rPr>
                <w:rFonts w:asciiTheme="majorHAnsi" w:hAnsiTheme="majorHAnsi" w:cs="Arial"/>
                <w:sz w:val="24"/>
                <w:szCs w:val="24"/>
              </w:rPr>
              <w:t xml:space="preserve"> </w:t>
            </w:r>
            <w:r w:rsidR="00087450">
              <w:rPr>
                <w:rFonts w:asciiTheme="majorHAnsi" w:hAnsiTheme="majorHAnsi" w:cs="Arial"/>
                <w:sz w:val="24"/>
                <w:szCs w:val="24"/>
              </w:rPr>
              <w:t>April 1, 202</w:t>
            </w:r>
            <w:r w:rsidR="00AE2798">
              <w:rPr>
                <w:rFonts w:asciiTheme="majorHAnsi" w:hAnsiTheme="majorHAnsi" w:cs="Arial"/>
                <w:sz w:val="24"/>
                <w:szCs w:val="24"/>
              </w:rPr>
              <w:t>2</w:t>
            </w:r>
          </w:p>
        </w:tc>
      </w:tr>
      <w:tr w:rsidR="001C1FE3" w:rsidRPr="00F973C8" w14:paraId="75A26F93" w14:textId="77777777" w:rsidTr="001C1FE3">
        <w:tc>
          <w:tcPr>
            <w:tcW w:w="2358" w:type="dxa"/>
          </w:tcPr>
          <w:p w14:paraId="4F78F975" w14:textId="77777777" w:rsidR="001C1FE3" w:rsidRPr="00F973C8" w:rsidRDefault="001C1FE3" w:rsidP="00C142DD">
            <w:pPr>
              <w:rPr>
                <w:rFonts w:asciiTheme="majorHAnsi" w:hAnsiTheme="majorHAnsi" w:cs="Arial"/>
                <w:sz w:val="24"/>
                <w:szCs w:val="24"/>
              </w:rPr>
            </w:pPr>
            <w:r w:rsidRPr="00F973C8">
              <w:rPr>
                <w:rFonts w:asciiTheme="majorHAnsi" w:hAnsiTheme="majorHAnsi" w:cs="Arial"/>
                <w:sz w:val="24"/>
                <w:szCs w:val="24"/>
              </w:rPr>
              <w:t>Version</w:t>
            </w:r>
          </w:p>
        </w:tc>
        <w:tc>
          <w:tcPr>
            <w:tcW w:w="7200" w:type="dxa"/>
          </w:tcPr>
          <w:p w14:paraId="6F06DEE8" w14:textId="6BAEB8CE" w:rsidR="001C1FE3" w:rsidRPr="00F973C8" w:rsidRDefault="00B27344" w:rsidP="00C85F16">
            <w:pPr>
              <w:rPr>
                <w:rFonts w:asciiTheme="majorHAnsi" w:hAnsiTheme="majorHAnsi" w:cs="Arial"/>
                <w:sz w:val="24"/>
                <w:szCs w:val="24"/>
              </w:rPr>
            </w:pPr>
            <w:r>
              <w:rPr>
                <w:rFonts w:asciiTheme="majorHAnsi" w:hAnsiTheme="majorHAnsi" w:cs="Arial"/>
                <w:sz w:val="24"/>
                <w:szCs w:val="24"/>
              </w:rPr>
              <w:t xml:space="preserve"> </w:t>
            </w:r>
            <w:r w:rsidR="00AE2798">
              <w:rPr>
                <w:rFonts w:asciiTheme="majorHAnsi" w:hAnsiTheme="majorHAnsi" w:cs="Arial"/>
                <w:sz w:val="24"/>
                <w:szCs w:val="24"/>
              </w:rPr>
              <w:t>8</w:t>
            </w:r>
            <w:r w:rsidR="00C85F16">
              <w:rPr>
                <w:rFonts w:asciiTheme="majorHAnsi" w:hAnsiTheme="majorHAnsi" w:cs="Arial"/>
                <w:sz w:val="24"/>
                <w:szCs w:val="24"/>
              </w:rPr>
              <w:t>.0</w:t>
            </w:r>
          </w:p>
        </w:tc>
      </w:tr>
      <w:tr w:rsidR="00203CFA" w:rsidRPr="00F973C8" w14:paraId="684CC7A5" w14:textId="77777777" w:rsidTr="001C1FE3">
        <w:tc>
          <w:tcPr>
            <w:tcW w:w="2358" w:type="dxa"/>
          </w:tcPr>
          <w:p w14:paraId="739F5FFF"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Prev. Version</w:t>
            </w:r>
          </w:p>
        </w:tc>
        <w:tc>
          <w:tcPr>
            <w:tcW w:w="7200" w:type="dxa"/>
          </w:tcPr>
          <w:p w14:paraId="4432B4BE" w14:textId="4C55EC74" w:rsidR="00203CFA" w:rsidRPr="00F973C8" w:rsidRDefault="00AE2798" w:rsidP="00C85F16">
            <w:pPr>
              <w:rPr>
                <w:rFonts w:asciiTheme="majorHAnsi" w:hAnsiTheme="majorHAnsi" w:cs="Arial"/>
                <w:sz w:val="24"/>
                <w:szCs w:val="24"/>
              </w:rPr>
            </w:pPr>
            <w:r>
              <w:rPr>
                <w:rFonts w:asciiTheme="majorHAnsi" w:hAnsiTheme="majorHAnsi" w:cs="Arial"/>
                <w:sz w:val="24"/>
                <w:szCs w:val="24"/>
              </w:rPr>
              <w:t>7</w:t>
            </w:r>
            <w:r w:rsidR="00E54B73">
              <w:rPr>
                <w:rFonts w:asciiTheme="majorHAnsi" w:hAnsiTheme="majorHAnsi" w:cs="Arial"/>
                <w:sz w:val="24"/>
                <w:szCs w:val="24"/>
              </w:rPr>
              <w:t>.0</w:t>
            </w:r>
            <w:r w:rsidR="00B27344">
              <w:rPr>
                <w:rFonts w:asciiTheme="majorHAnsi" w:hAnsiTheme="majorHAnsi" w:cs="Arial"/>
                <w:sz w:val="24"/>
                <w:szCs w:val="24"/>
              </w:rPr>
              <w:t xml:space="preserve"> </w:t>
            </w:r>
            <w:r>
              <w:rPr>
                <w:rFonts w:asciiTheme="majorHAnsi" w:hAnsiTheme="majorHAnsi" w:cs="Arial"/>
                <w:sz w:val="24"/>
                <w:szCs w:val="24"/>
              </w:rPr>
              <w:t>April 1, 2020</w:t>
            </w:r>
          </w:p>
        </w:tc>
      </w:tr>
      <w:tr w:rsidR="00203CFA" w:rsidRPr="00F973C8" w14:paraId="4576A356" w14:textId="77777777" w:rsidTr="001C1FE3">
        <w:tc>
          <w:tcPr>
            <w:tcW w:w="2358" w:type="dxa"/>
          </w:tcPr>
          <w:p w14:paraId="6493F0FC" w14:textId="77777777" w:rsidR="00203CFA" w:rsidRPr="00F973C8" w:rsidRDefault="00203CFA" w:rsidP="00C142DD">
            <w:pPr>
              <w:rPr>
                <w:rFonts w:asciiTheme="majorHAnsi" w:hAnsiTheme="majorHAnsi" w:cs="Arial"/>
                <w:sz w:val="24"/>
                <w:szCs w:val="24"/>
              </w:rPr>
            </w:pPr>
            <w:r w:rsidRPr="00F973C8">
              <w:rPr>
                <w:rFonts w:asciiTheme="majorHAnsi" w:hAnsiTheme="majorHAnsi" w:cs="Arial"/>
                <w:sz w:val="24"/>
                <w:szCs w:val="24"/>
              </w:rPr>
              <w:t>Next Review</w:t>
            </w:r>
          </w:p>
        </w:tc>
        <w:tc>
          <w:tcPr>
            <w:tcW w:w="7200" w:type="dxa"/>
          </w:tcPr>
          <w:p w14:paraId="1A90F0E8" w14:textId="175CF0B7" w:rsidR="00203CFA" w:rsidRPr="00F973C8" w:rsidRDefault="00E54B73" w:rsidP="00E517C0">
            <w:pPr>
              <w:rPr>
                <w:rFonts w:asciiTheme="majorHAnsi" w:hAnsiTheme="majorHAnsi" w:cs="Arial"/>
                <w:sz w:val="24"/>
                <w:szCs w:val="24"/>
              </w:rPr>
            </w:pPr>
            <w:r>
              <w:rPr>
                <w:rFonts w:asciiTheme="majorHAnsi" w:hAnsiTheme="majorHAnsi" w:cs="Arial"/>
                <w:sz w:val="24"/>
                <w:szCs w:val="24"/>
              </w:rPr>
              <w:t>202</w:t>
            </w:r>
            <w:r w:rsidR="00AE2798">
              <w:rPr>
                <w:rFonts w:asciiTheme="majorHAnsi" w:hAnsiTheme="majorHAnsi" w:cs="Arial"/>
                <w:sz w:val="24"/>
                <w:szCs w:val="24"/>
              </w:rPr>
              <w:t>4</w:t>
            </w:r>
          </w:p>
        </w:tc>
      </w:tr>
    </w:tbl>
    <w:p w14:paraId="035C16A6" w14:textId="77777777" w:rsidR="003E5C7D" w:rsidRPr="0013381F" w:rsidRDefault="003E5C7D" w:rsidP="001A5055">
      <w:pPr>
        <w:pStyle w:val="Heading2"/>
        <w:rPr>
          <w:color w:val="auto"/>
          <w:sz w:val="24"/>
          <w:szCs w:val="24"/>
        </w:rPr>
      </w:pPr>
      <w:bookmarkStart w:id="0" w:name="_Toc161112728"/>
      <w:r w:rsidRPr="0013381F">
        <w:rPr>
          <w:color w:val="auto"/>
          <w:sz w:val="24"/>
          <w:szCs w:val="24"/>
        </w:rPr>
        <w:t>Budget Management</w:t>
      </w:r>
      <w:bookmarkEnd w:id="0"/>
    </w:p>
    <w:p w14:paraId="7EDD9693" w14:textId="32FD87C9" w:rsidR="003E5C7D" w:rsidRDefault="003E5C7D" w:rsidP="001A5055">
      <w:pPr>
        <w:rPr>
          <w:rFonts w:asciiTheme="majorHAnsi" w:hAnsiTheme="majorHAnsi"/>
          <w:color w:val="000000"/>
          <w:sz w:val="24"/>
          <w:szCs w:val="24"/>
        </w:rPr>
      </w:pPr>
      <w:r w:rsidRPr="00067F5B">
        <w:rPr>
          <w:rFonts w:asciiTheme="majorHAnsi" w:hAnsiTheme="majorHAnsi"/>
          <w:color w:val="000000"/>
          <w:sz w:val="24"/>
          <w:szCs w:val="24"/>
        </w:rPr>
        <w:t xml:space="preserve">The Committee on Research and Publications recognizes that research is a creative and fluid process, often providing shifts, needs, and opportunities to which researchers must have the ability to respond.  Once awarded, research funds are to be managed and allocated in support of the proposed research at the researcher's discretion.  There are </w:t>
      </w:r>
      <w:r w:rsidRPr="00067F5B">
        <w:rPr>
          <w:rFonts w:asciiTheme="majorHAnsi" w:hAnsiTheme="majorHAnsi"/>
          <w:b/>
          <w:i/>
          <w:color w:val="000000"/>
          <w:sz w:val="24"/>
          <w:szCs w:val="24"/>
        </w:rPr>
        <w:t>two firm exceptions</w:t>
      </w:r>
      <w:r w:rsidRPr="00067F5B">
        <w:rPr>
          <w:rFonts w:asciiTheme="majorHAnsi" w:hAnsiTheme="majorHAnsi"/>
          <w:color w:val="000000"/>
          <w:sz w:val="24"/>
          <w:szCs w:val="24"/>
        </w:rPr>
        <w:t xml:space="preserve"> to this. Funds awarded in support of student salaries and benefits are non-transferable and are to be used only for the purposes proposed in the original application and specified in its budget.  Also, research funds are </w:t>
      </w:r>
      <w:r w:rsidRPr="00067F5B">
        <w:rPr>
          <w:rFonts w:asciiTheme="majorHAnsi" w:hAnsiTheme="majorHAnsi"/>
          <w:b/>
          <w:i/>
          <w:color w:val="000000"/>
          <w:sz w:val="24"/>
          <w:szCs w:val="24"/>
        </w:rPr>
        <w:t>not</w:t>
      </w:r>
      <w:r w:rsidRPr="00067F5B">
        <w:rPr>
          <w:rFonts w:asciiTheme="majorHAnsi" w:hAnsiTheme="majorHAnsi"/>
          <w:color w:val="000000"/>
          <w:sz w:val="24"/>
          <w:szCs w:val="24"/>
        </w:rPr>
        <w:t xml:space="preserve"> to be deployed in the purchase of non-disposable capital equipment (e.g., computers, sound equipment, cameras and so on), except in circumstances where the Committee on Research and Publications has approved such expenditures in its adjudication of the original research application and associated budget proposal.</w:t>
      </w:r>
      <w:r w:rsidR="001A5055">
        <w:rPr>
          <w:rFonts w:asciiTheme="majorHAnsi" w:hAnsiTheme="majorHAnsi"/>
          <w:color w:val="000000"/>
          <w:sz w:val="24"/>
          <w:szCs w:val="24"/>
        </w:rPr>
        <w:t xml:space="preserve"> </w:t>
      </w:r>
      <w:r w:rsidRPr="00067F5B">
        <w:rPr>
          <w:rFonts w:asciiTheme="majorHAnsi" w:hAnsiTheme="majorHAnsi"/>
          <w:color w:val="000000"/>
          <w:sz w:val="24"/>
          <w:szCs w:val="24"/>
        </w:rPr>
        <w:t>Expense claims must be supported by the required and appropriate documentation and receipts.</w:t>
      </w:r>
    </w:p>
    <w:p w14:paraId="15E66F0E" w14:textId="77777777" w:rsidR="00C85F16" w:rsidRDefault="00C85F16" w:rsidP="001A5055">
      <w:pPr>
        <w:rPr>
          <w:rFonts w:asciiTheme="majorHAnsi" w:hAnsiTheme="majorHAnsi"/>
          <w:color w:val="000000"/>
          <w:sz w:val="24"/>
          <w:szCs w:val="24"/>
        </w:rPr>
      </w:pPr>
      <w:r>
        <w:rPr>
          <w:rFonts w:asciiTheme="majorHAnsi" w:hAnsiTheme="majorHAnsi"/>
          <w:color w:val="000000"/>
          <w:sz w:val="24"/>
          <w:szCs w:val="24"/>
        </w:rPr>
        <w:t>Important Notice: For grants that are longer than one year, researchers must spend a minimum of 50% of their grant award in year one</w:t>
      </w:r>
      <w:r w:rsidR="00554F12">
        <w:rPr>
          <w:rFonts w:asciiTheme="majorHAnsi" w:hAnsiTheme="majorHAnsi"/>
          <w:color w:val="000000"/>
          <w:sz w:val="24"/>
          <w:szCs w:val="24"/>
        </w:rPr>
        <w:t xml:space="preserve"> as per Tri-Council </w:t>
      </w:r>
      <w:r w:rsidR="001C4E81">
        <w:rPr>
          <w:rFonts w:asciiTheme="majorHAnsi" w:hAnsiTheme="majorHAnsi"/>
          <w:color w:val="000000"/>
          <w:sz w:val="24"/>
          <w:szCs w:val="24"/>
        </w:rPr>
        <w:t>stipulation</w:t>
      </w:r>
      <w:r>
        <w:rPr>
          <w:rFonts w:asciiTheme="majorHAnsi" w:hAnsiTheme="majorHAnsi"/>
          <w:color w:val="000000"/>
          <w:sz w:val="24"/>
          <w:szCs w:val="24"/>
        </w:rPr>
        <w:t>.</w:t>
      </w:r>
    </w:p>
    <w:p w14:paraId="443F240F" w14:textId="77777777" w:rsidR="003E5C7D" w:rsidRPr="00067F5B" w:rsidRDefault="00554F12" w:rsidP="001A5055">
      <w:pPr>
        <w:rPr>
          <w:rStyle w:val="Heading2Char"/>
          <w:color w:val="000000"/>
          <w:sz w:val="24"/>
          <w:szCs w:val="24"/>
        </w:rPr>
      </w:pPr>
      <w:bookmarkStart w:id="1" w:name="_Toc161112729"/>
      <w:r>
        <w:rPr>
          <w:rStyle w:val="Heading2Char"/>
          <w:color w:val="000000"/>
          <w:sz w:val="24"/>
          <w:szCs w:val="24"/>
        </w:rPr>
        <w:t xml:space="preserve">Student </w:t>
      </w:r>
      <w:r w:rsidR="003E5C7D" w:rsidRPr="00067F5B">
        <w:rPr>
          <w:rStyle w:val="Heading2Char"/>
          <w:color w:val="000000"/>
          <w:sz w:val="24"/>
          <w:szCs w:val="24"/>
        </w:rPr>
        <w:t>Personne</w:t>
      </w:r>
      <w:r w:rsidR="00067F5B">
        <w:rPr>
          <w:rStyle w:val="Heading2Char"/>
          <w:color w:val="000000"/>
          <w:sz w:val="24"/>
          <w:szCs w:val="24"/>
        </w:rPr>
        <w:t>l</w:t>
      </w:r>
      <w:r w:rsidR="003E5C7D" w:rsidRPr="00067F5B">
        <w:rPr>
          <w:rStyle w:val="Heading2Char"/>
          <w:color w:val="000000"/>
          <w:sz w:val="24"/>
          <w:szCs w:val="24"/>
        </w:rPr>
        <w:t xml:space="preserve"> Costs</w:t>
      </w:r>
      <w:bookmarkEnd w:id="1"/>
    </w:p>
    <w:p w14:paraId="4557213A" w14:textId="31FB1DB7" w:rsidR="003E5C7D" w:rsidRPr="00067F5B" w:rsidRDefault="003E5C7D" w:rsidP="001A5055">
      <w:pPr>
        <w:pStyle w:val="Level1"/>
        <w:numPr>
          <w:ilvl w:val="0"/>
          <w:numId w:val="48"/>
        </w:numPr>
        <w:tabs>
          <w:tab w:val="left" w:pos="720"/>
        </w:tabs>
        <w:ind w:left="720" w:hanging="720"/>
        <w:rPr>
          <w:rFonts w:asciiTheme="majorHAnsi" w:hAnsiTheme="majorHAnsi"/>
          <w:color w:val="000000"/>
        </w:rPr>
      </w:pPr>
      <w:r w:rsidRPr="00067F5B">
        <w:rPr>
          <w:rFonts w:asciiTheme="majorHAnsi" w:hAnsiTheme="majorHAnsi"/>
          <w:color w:val="000000"/>
        </w:rPr>
        <w:t>Undergraduate level ($</w:t>
      </w:r>
      <w:r w:rsidR="00E54B73">
        <w:rPr>
          <w:rFonts w:asciiTheme="majorHAnsi" w:hAnsiTheme="majorHAnsi"/>
          <w:color w:val="000000"/>
        </w:rPr>
        <w:t>1</w:t>
      </w:r>
      <w:r w:rsidR="00AE2798">
        <w:rPr>
          <w:rFonts w:asciiTheme="majorHAnsi" w:hAnsiTheme="majorHAnsi"/>
          <w:color w:val="000000"/>
        </w:rPr>
        <w:t>5</w:t>
      </w:r>
      <w:r w:rsidR="00B27344">
        <w:rPr>
          <w:rFonts w:asciiTheme="majorHAnsi" w:hAnsiTheme="majorHAnsi"/>
          <w:color w:val="000000"/>
        </w:rPr>
        <w:t>.00</w:t>
      </w:r>
      <w:r w:rsidR="00D703FE">
        <w:rPr>
          <w:rFonts w:asciiTheme="majorHAnsi" w:hAnsiTheme="majorHAnsi"/>
          <w:color w:val="000000"/>
        </w:rPr>
        <w:t xml:space="preserve"> to $</w:t>
      </w:r>
      <w:r w:rsidR="00E54B73">
        <w:rPr>
          <w:rFonts w:asciiTheme="majorHAnsi" w:hAnsiTheme="majorHAnsi"/>
          <w:color w:val="000000"/>
        </w:rPr>
        <w:t>1</w:t>
      </w:r>
      <w:r w:rsidR="00AE2798">
        <w:rPr>
          <w:rFonts w:asciiTheme="majorHAnsi" w:hAnsiTheme="majorHAnsi"/>
          <w:color w:val="000000"/>
        </w:rPr>
        <w:t>8</w:t>
      </w:r>
      <w:r w:rsidR="00D703FE">
        <w:rPr>
          <w:rFonts w:asciiTheme="majorHAnsi" w:hAnsiTheme="majorHAnsi"/>
          <w:color w:val="000000"/>
        </w:rPr>
        <w:t>.00</w:t>
      </w:r>
      <w:r w:rsidRPr="00067F5B">
        <w:rPr>
          <w:rFonts w:asciiTheme="majorHAnsi" w:hAnsiTheme="majorHAnsi"/>
          <w:color w:val="000000"/>
        </w:rPr>
        <w:t>/</w:t>
      </w:r>
      <w:proofErr w:type="spellStart"/>
      <w:r w:rsidRPr="00067F5B">
        <w:rPr>
          <w:rFonts w:asciiTheme="majorHAnsi" w:hAnsiTheme="majorHAnsi"/>
          <w:color w:val="000000"/>
        </w:rPr>
        <w:t>hr</w:t>
      </w:r>
      <w:proofErr w:type="spellEnd"/>
      <w:r w:rsidRPr="00067F5B">
        <w:rPr>
          <w:rFonts w:asciiTheme="majorHAnsi" w:hAnsiTheme="majorHAnsi"/>
          <w:color w:val="000000"/>
        </w:rPr>
        <w:t xml:space="preserve"> + </w:t>
      </w:r>
      <w:r w:rsidR="00AE2798">
        <w:rPr>
          <w:rFonts w:asciiTheme="majorHAnsi" w:hAnsiTheme="majorHAnsi"/>
          <w:color w:val="000000"/>
        </w:rPr>
        <w:t>12</w:t>
      </w:r>
      <w:r w:rsidRPr="00067F5B">
        <w:rPr>
          <w:rFonts w:asciiTheme="majorHAnsi" w:hAnsiTheme="majorHAnsi"/>
          <w:color w:val="000000"/>
        </w:rPr>
        <w:t>% benefits)</w:t>
      </w:r>
    </w:p>
    <w:p w14:paraId="3AA27660" w14:textId="77777777" w:rsidR="003E5C7D" w:rsidRPr="00067F5B" w:rsidRDefault="003E5C7D" w:rsidP="001A5055">
      <w:pPr>
        <w:spacing w:after="0" w:line="2" w:lineRule="exact"/>
        <w:rPr>
          <w:rFonts w:asciiTheme="majorHAnsi" w:hAnsiTheme="majorHAnsi"/>
          <w:color w:val="000000"/>
          <w:sz w:val="24"/>
          <w:szCs w:val="24"/>
        </w:rPr>
      </w:pPr>
    </w:p>
    <w:p w14:paraId="05A42595" w14:textId="4DE91AC2" w:rsidR="003E5C7D" w:rsidRDefault="003E5C7D" w:rsidP="001A5055">
      <w:pPr>
        <w:pStyle w:val="Level1"/>
        <w:numPr>
          <w:ilvl w:val="0"/>
          <w:numId w:val="48"/>
        </w:numPr>
        <w:tabs>
          <w:tab w:val="left" w:pos="720"/>
        </w:tabs>
        <w:ind w:left="720" w:hanging="720"/>
        <w:rPr>
          <w:rFonts w:asciiTheme="majorHAnsi" w:hAnsiTheme="majorHAnsi"/>
          <w:color w:val="000000"/>
        </w:rPr>
      </w:pPr>
      <w:r w:rsidRPr="00067F5B">
        <w:rPr>
          <w:rFonts w:asciiTheme="majorHAnsi" w:hAnsiTheme="majorHAnsi"/>
          <w:color w:val="000000"/>
        </w:rPr>
        <w:t>Graduate level ($</w:t>
      </w:r>
      <w:r w:rsidR="00E54B73">
        <w:rPr>
          <w:rFonts w:asciiTheme="majorHAnsi" w:hAnsiTheme="majorHAnsi"/>
          <w:color w:val="000000"/>
        </w:rPr>
        <w:t>1</w:t>
      </w:r>
      <w:r w:rsidR="00AE2798">
        <w:rPr>
          <w:rFonts w:asciiTheme="majorHAnsi" w:hAnsiTheme="majorHAnsi"/>
          <w:color w:val="000000"/>
        </w:rPr>
        <w:t>8</w:t>
      </w:r>
      <w:r w:rsidR="00B27344">
        <w:rPr>
          <w:rFonts w:asciiTheme="majorHAnsi" w:hAnsiTheme="majorHAnsi"/>
          <w:color w:val="000000"/>
        </w:rPr>
        <w:t>.00</w:t>
      </w:r>
      <w:r w:rsidR="00D703FE">
        <w:rPr>
          <w:rFonts w:asciiTheme="majorHAnsi" w:hAnsiTheme="majorHAnsi"/>
          <w:color w:val="000000"/>
        </w:rPr>
        <w:t xml:space="preserve"> to $</w:t>
      </w:r>
      <w:r w:rsidR="00E54B73">
        <w:rPr>
          <w:rFonts w:asciiTheme="majorHAnsi" w:hAnsiTheme="majorHAnsi"/>
          <w:color w:val="000000"/>
        </w:rPr>
        <w:t>2</w:t>
      </w:r>
      <w:r w:rsidR="00AE2798">
        <w:rPr>
          <w:rFonts w:asciiTheme="majorHAnsi" w:hAnsiTheme="majorHAnsi"/>
          <w:color w:val="000000"/>
        </w:rPr>
        <w:t>2</w:t>
      </w:r>
      <w:r w:rsidR="00B27344">
        <w:rPr>
          <w:rFonts w:asciiTheme="majorHAnsi" w:hAnsiTheme="majorHAnsi"/>
          <w:color w:val="000000"/>
        </w:rPr>
        <w:t>.00</w:t>
      </w:r>
      <w:r w:rsidRPr="00067F5B">
        <w:rPr>
          <w:rFonts w:asciiTheme="majorHAnsi" w:hAnsiTheme="majorHAnsi"/>
          <w:color w:val="000000"/>
        </w:rPr>
        <w:t>/</w:t>
      </w:r>
      <w:proofErr w:type="spellStart"/>
      <w:r w:rsidRPr="00067F5B">
        <w:rPr>
          <w:rFonts w:asciiTheme="majorHAnsi" w:hAnsiTheme="majorHAnsi"/>
          <w:color w:val="000000"/>
        </w:rPr>
        <w:t>hr</w:t>
      </w:r>
      <w:proofErr w:type="spellEnd"/>
      <w:r w:rsidRPr="00067F5B">
        <w:rPr>
          <w:rFonts w:asciiTheme="majorHAnsi" w:hAnsiTheme="majorHAnsi"/>
          <w:color w:val="000000"/>
        </w:rPr>
        <w:t xml:space="preserve"> + </w:t>
      </w:r>
      <w:r w:rsidR="00AE2798">
        <w:rPr>
          <w:rFonts w:asciiTheme="majorHAnsi" w:hAnsiTheme="majorHAnsi"/>
          <w:color w:val="000000"/>
        </w:rPr>
        <w:t>12</w:t>
      </w:r>
      <w:r w:rsidRPr="00067F5B">
        <w:rPr>
          <w:rFonts w:asciiTheme="majorHAnsi" w:hAnsiTheme="majorHAnsi"/>
          <w:color w:val="000000"/>
        </w:rPr>
        <w:t>% benefits)</w:t>
      </w:r>
      <w:r w:rsidR="00B27344">
        <w:rPr>
          <w:rFonts w:asciiTheme="majorHAnsi" w:hAnsiTheme="majorHAnsi"/>
          <w:color w:val="000000"/>
        </w:rPr>
        <w:t xml:space="preserve"> </w:t>
      </w:r>
    </w:p>
    <w:p w14:paraId="05427D67" w14:textId="39E378EE" w:rsidR="00B27344" w:rsidRDefault="00E54B73" w:rsidP="001A5055">
      <w:pPr>
        <w:pStyle w:val="Level1"/>
        <w:numPr>
          <w:ilvl w:val="0"/>
          <w:numId w:val="48"/>
        </w:numPr>
        <w:tabs>
          <w:tab w:val="left" w:pos="720"/>
        </w:tabs>
        <w:ind w:left="720" w:hanging="720"/>
        <w:rPr>
          <w:rFonts w:asciiTheme="majorHAnsi" w:hAnsiTheme="majorHAnsi"/>
          <w:color w:val="000000"/>
        </w:rPr>
      </w:pPr>
      <w:r>
        <w:rPr>
          <w:rFonts w:asciiTheme="majorHAnsi" w:hAnsiTheme="majorHAnsi"/>
          <w:color w:val="000000"/>
        </w:rPr>
        <w:t>PhD level ($2</w:t>
      </w:r>
      <w:r w:rsidR="00AE2798">
        <w:rPr>
          <w:rFonts w:asciiTheme="majorHAnsi" w:hAnsiTheme="majorHAnsi"/>
          <w:color w:val="000000"/>
        </w:rPr>
        <w:t>2</w:t>
      </w:r>
      <w:r>
        <w:rPr>
          <w:rFonts w:asciiTheme="majorHAnsi" w:hAnsiTheme="majorHAnsi"/>
          <w:color w:val="000000"/>
        </w:rPr>
        <w:t>.00 to $2</w:t>
      </w:r>
      <w:r w:rsidR="00AE2798">
        <w:rPr>
          <w:rFonts w:asciiTheme="majorHAnsi" w:hAnsiTheme="majorHAnsi"/>
          <w:color w:val="000000"/>
        </w:rPr>
        <w:t>6</w:t>
      </w:r>
      <w:r w:rsidR="00B27344">
        <w:rPr>
          <w:rFonts w:asciiTheme="majorHAnsi" w:hAnsiTheme="majorHAnsi"/>
          <w:color w:val="000000"/>
        </w:rPr>
        <w:t>.00/</w:t>
      </w:r>
      <w:proofErr w:type="spellStart"/>
      <w:r w:rsidR="00B27344">
        <w:rPr>
          <w:rFonts w:asciiTheme="majorHAnsi" w:hAnsiTheme="majorHAnsi"/>
          <w:color w:val="000000"/>
        </w:rPr>
        <w:t>hr</w:t>
      </w:r>
      <w:proofErr w:type="spellEnd"/>
      <w:r w:rsidR="00B27344">
        <w:rPr>
          <w:rFonts w:asciiTheme="majorHAnsi" w:hAnsiTheme="majorHAnsi"/>
          <w:color w:val="000000"/>
        </w:rPr>
        <w:t xml:space="preserve"> + </w:t>
      </w:r>
      <w:r w:rsidR="00AE2798">
        <w:rPr>
          <w:rFonts w:asciiTheme="majorHAnsi" w:hAnsiTheme="majorHAnsi"/>
          <w:color w:val="000000"/>
        </w:rPr>
        <w:t>12</w:t>
      </w:r>
      <w:r w:rsidR="00B27344">
        <w:rPr>
          <w:rFonts w:asciiTheme="majorHAnsi" w:hAnsiTheme="majorHAnsi"/>
          <w:color w:val="000000"/>
        </w:rPr>
        <w:t>% benefits</w:t>
      </w:r>
    </w:p>
    <w:p w14:paraId="173CE541" w14:textId="0B472423" w:rsidR="00AE2798" w:rsidRDefault="00AE2798" w:rsidP="001A5055">
      <w:pPr>
        <w:pStyle w:val="Level1"/>
        <w:numPr>
          <w:ilvl w:val="0"/>
          <w:numId w:val="48"/>
        </w:numPr>
        <w:tabs>
          <w:tab w:val="left" w:pos="720"/>
        </w:tabs>
        <w:ind w:left="720" w:hanging="720"/>
        <w:rPr>
          <w:rFonts w:asciiTheme="majorHAnsi" w:hAnsiTheme="majorHAnsi"/>
          <w:color w:val="000000"/>
        </w:rPr>
      </w:pPr>
      <w:r>
        <w:rPr>
          <w:rFonts w:asciiTheme="majorHAnsi" w:hAnsiTheme="majorHAnsi"/>
          <w:color w:val="000000"/>
        </w:rPr>
        <w:t>Post-Doctoral level ($50,000/</w:t>
      </w:r>
      <w:proofErr w:type="spellStart"/>
      <w:r>
        <w:rPr>
          <w:rFonts w:asciiTheme="majorHAnsi" w:hAnsiTheme="majorHAnsi"/>
          <w:color w:val="000000"/>
        </w:rPr>
        <w:t>yr</w:t>
      </w:r>
      <w:proofErr w:type="spellEnd"/>
      <w:r>
        <w:rPr>
          <w:rFonts w:asciiTheme="majorHAnsi" w:hAnsiTheme="majorHAnsi"/>
          <w:color w:val="000000"/>
        </w:rPr>
        <w:t xml:space="preserve"> +12% benefits)</w:t>
      </w:r>
    </w:p>
    <w:p w14:paraId="62D19BB4" w14:textId="77777777" w:rsidR="00554F12" w:rsidRDefault="00554F12" w:rsidP="00554F12">
      <w:pPr>
        <w:pStyle w:val="Level1"/>
        <w:tabs>
          <w:tab w:val="left" w:pos="720"/>
        </w:tabs>
        <w:rPr>
          <w:rFonts w:asciiTheme="majorHAnsi" w:hAnsiTheme="majorHAnsi"/>
          <w:color w:val="000000"/>
        </w:rPr>
      </w:pPr>
    </w:p>
    <w:p w14:paraId="1E4F2694" w14:textId="77777777" w:rsidR="00554F12" w:rsidRPr="00067F5B" w:rsidRDefault="00554F12" w:rsidP="00554F12">
      <w:pPr>
        <w:pStyle w:val="Level1"/>
        <w:tabs>
          <w:tab w:val="left" w:pos="720"/>
        </w:tabs>
        <w:ind w:left="0"/>
        <w:rPr>
          <w:rFonts w:asciiTheme="majorHAnsi" w:hAnsiTheme="majorHAnsi"/>
          <w:color w:val="000000"/>
        </w:rPr>
      </w:pPr>
      <w:r>
        <w:rPr>
          <w:rFonts w:asciiTheme="majorHAnsi" w:hAnsiTheme="majorHAnsi"/>
          <w:color w:val="000000"/>
        </w:rPr>
        <w:t>Other Personnel Cost</w:t>
      </w:r>
    </w:p>
    <w:p w14:paraId="5D87BB9A" w14:textId="47878FF3" w:rsidR="003E5C7D" w:rsidRPr="00067F5B" w:rsidRDefault="0034339B" w:rsidP="001A5055">
      <w:pPr>
        <w:pStyle w:val="Level1"/>
        <w:numPr>
          <w:ilvl w:val="0"/>
          <w:numId w:val="48"/>
        </w:numPr>
        <w:tabs>
          <w:tab w:val="left" w:pos="720"/>
        </w:tabs>
        <w:ind w:left="720" w:hanging="720"/>
        <w:rPr>
          <w:rFonts w:asciiTheme="majorHAnsi" w:hAnsiTheme="majorHAnsi"/>
          <w:color w:val="000000"/>
        </w:rPr>
      </w:pPr>
      <w:r>
        <w:rPr>
          <w:rFonts w:asciiTheme="majorHAnsi" w:hAnsiTheme="majorHAnsi"/>
          <w:color w:val="000000"/>
        </w:rPr>
        <w:t>Non-student staffing (project managers, professional services, etc.)</w:t>
      </w:r>
      <w:r w:rsidR="00FA15F4">
        <w:rPr>
          <w:rFonts w:asciiTheme="majorHAnsi" w:hAnsiTheme="majorHAnsi"/>
          <w:color w:val="000000"/>
        </w:rPr>
        <w:t xml:space="preserve"> </w:t>
      </w:r>
      <w:r w:rsidR="003E5C7D" w:rsidRPr="00067F5B">
        <w:rPr>
          <w:rFonts w:asciiTheme="majorHAnsi" w:hAnsiTheme="majorHAnsi"/>
          <w:color w:val="000000"/>
        </w:rPr>
        <w:t>(</w:t>
      </w:r>
      <w:r w:rsidR="00D703FE">
        <w:rPr>
          <w:rFonts w:asciiTheme="majorHAnsi" w:hAnsiTheme="majorHAnsi"/>
          <w:color w:val="000000"/>
        </w:rPr>
        <w:t xml:space="preserve">reasonable market value </w:t>
      </w:r>
      <w:r w:rsidR="003E5C7D" w:rsidRPr="00067F5B">
        <w:rPr>
          <w:rFonts w:asciiTheme="majorHAnsi" w:hAnsiTheme="majorHAnsi"/>
          <w:color w:val="000000"/>
        </w:rPr>
        <w:t xml:space="preserve">+ </w:t>
      </w:r>
      <w:r w:rsidR="000B74B9">
        <w:rPr>
          <w:rFonts w:asciiTheme="majorHAnsi" w:hAnsiTheme="majorHAnsi"/>
          <w:color w:val="000000"/>
        </w:rPr>
        <w:t>1</w:t>
      </w:r>
      <w:r w:rsidR="00AE2798">
        <w:rPr>
          <w:rFonts w:asciiTheme="majorHAnsi" w:hAnsiTheme="majorHAnsi"/>
          <w:color w:val="000000"/>
        </w:rPr>
        <w:t>2</w:t>
      </w:r>
      <w:r w:rsidR="003E5C7D" w:rsidRPr="00067F5B">
        <w:rPr>
          <w:rFonts w:asciiTheme="majorHAnsi" w:hAnsiTheme="majorHAnsi"/>
          <w:color w:val="000000"/>
        </w:rPr>
        <w:t>% benefits)</w:t>
      </w:r>
    </w:p>
    <w:p w14:paraId="3B34F9DB" w14:textId="77777777" w:rsidR="00067F5B" w:rsidRDefault="00067F5B" w:rsidP="001A5055">
      <w:pPr>
        <w:pStyle w:val="NormalWeb"/>
        <w:spacing w:before="0" w:beforeAutospacing="0" w:after="0" w:afterAutospacing="0"/>
        <w:rPr>
          <w:rFonts w:asciiTheme="majorHAnsi" w:hAnsiTheme="majorHAnsi"/>
          <w:color w:val="000000"/>
        </w:rPr>
      </w:pPr>
    </w:p>
    <w:p w14:paraId="7A622A82" w14:textId="13FBA833" w:rsidR="003E5C7D" w:rsidRDefault="003E5C7D" w:rsidP="001A5055">
      <w:pPr>
        <w:pStyle w:val="NormalWeb"/>
        <w:spacing w:before="0" w:beforeAutospacing="0" w:after="0" w:afterAutospacing="0"/>
        <w:rPr>
          <w:rFonts w:asciiTheme="majorHAnsi" w:hAnsiTheme="majorHAnsi"/>
          <w:color w:val="000000"/>
        </w:rPr>
      </w:pPr>
      <w:r w:rsidRPr="00067F5B">
        <w:rPr>
          <w:rFonts w:asciiTheme="majorHAnsi" w:hAnsiTheme="majorHAnsi"/>
          <w:color w:val="000000"/>
        </w:rPr>
        <w:lastRenderedPageBreak/>
        <w:t>Since all anticipated budget costs need to be justified, applicants should carefully detail the level of training necessary for high quality completion of their projects. Personnel costs can vary from the above guidelines, depending on justification of needs. The amount charged to the grant is the hourly rate plus fringe benefits. The fringe benefits are composed of 4% vacation pay and the employer portions of CPP an</w:t>
      </w:r>
      <w:r w:rsidR="00D703FE">
        <w:rPr>
          <w:rFonts w:asciiTheme="majorHAnsi" w:hAnsiTheme="majorHAnsi"/>
          <w:color w:val="000000"/>
        </w:rPr>
        <w:t>d</w:t>
      </w:r>
      <w:r w:rsidRPr="00067F5B">
        <w:rPr>
          <w:rFonts w:asciiTheme="majorHAnsi" w:hAnsiTheme="majorHAnsi"/>
          <w:color w:val="000000"/>
        </w:rPr>
        <w:t xml:space="preserve"> EI. In the case of the Personnel Costs above, the fringe benefits are currently calculated to be </w:t>
      </w:r>
      <w:r w:rsidR="000B74B9">
        <w:rPr>
          <w:rFonts w:asciiTheme="majorHAnsi" w:hAnsiTheme="majorHAnsi"/>
          <w:color w:val="000000"/>
        </w:rPr>
        <w:t>1</w:t>
      </w:r>
      <w:r w:rsidR="00AE2798">
        <w:rPr>
          <w:rFonts w:asciiTheme="majorHAnsi" w:hAnsiTheme="majorHAnsi"/>
          <w:color w:val="000000"/>
        </w:rPr>
        <w:t>2</w:t>
      </w:r>
      <w:r w:rsidRPr="00067F5B">
        <w:rPr>
          <w:rFonts w:asciiTheme="majorHAnsi" w:hAnsiTheme="majorHAnsi"/>
          <w:color w:val="000000"/>
        </w:rPr>
        <w:t xml:space="preserve">% (subject to change). </w:t>
      </w:r>
      <w:r w:rsidR="00D703FE">
        <w:rPr>
          <w:rFonts w:asciiTheme="majorHAnsi" w:hAnsiTheme="majorHAnsi"/>
          <w:color w:val="000000"/>
        </w:rPr>
        <w:t xml:space="preserve">For example, if </w:t>
      </w:r>
      <w:r w:rsidRPr="00067F5B">
        <w:rPr>
          <w:rFonts w:asciiTheme="majorHAnsi" w:hAnsiTheme="majorHAnsi"/>
          <w:color w:val="000000"/>
        </w:rPr>
        <w:t xml:space="preserve">a research assistant </w:t>
      </w:r>
      <w:r w:rsidR="00D703FE">
        <w:rPr>
          <w:rFonts w:asciiTheme="majorHAnsi" w:hAnsiTheme="majorHAnsi"/>
          <w:color w:val="000000"/>
        </w:rPr>
        <w:t xml:space="preserve">is hired </w:t>
      </w:r>
      <w:r w:rsidR="00FC54F8">
        <w:rPr>
          <w:rFonts w:asciiTheme="majorHAnsi" w:hAnsiTheme="majorHAnsi"/>
          <w:color w:val="000000"/>
        </w:rPr>
        <w:t>at $1</w:t>
      </w:r>
      <w:r w:rsidR="0034339B">
        <w:rPr>
          <w:rFonts w:asciiTheme="majorHAnsi" w:hAnsiTheme="majorHAnsi"/>
          <w:color w:val="000000"/>
        </w:rPr>
        <w:t>5</w:t>
      </w:r>
      <w:r w:rsidRPr="00067F5B">
        <w:rPr>
          <w:rFonts w:asciiTheme="majorHAnsi" w:hAnsiTheme="majorHAnsi"/>
          <w:color w:val="000000"/>
        </w:rPr>
        <w:t>/</w:t>
      </w:r>
      <w:proofErr w:type="spellStart"/>
      <w:r w:rsidRPr="00067F5B">
        <w:rPr>
          <w:rFonts w:asciiTheme="majorHAnsi" w:hAnsiTheme="majorHAnsi"/>
          <w:color w:val="000000"/>
        </w:rPr>
        <w:t>hr</w:t>
      </w:r>
      <w:proofErr w:type="spellEnd"/>
      <w:r w:rsidRPr="00067F5B">
        <w:rPr>
          <w:rFonts w:asciiTheme="majorHAnsi" w:hAnsiTheme="majorHAnsi"/>
          <w:color w:val="000000"/>
        </w:rPr>
        <w:t>, t</w:t>
      </w:r>
      <w:r w:rsidR="00FC54F8">
        <w:rPr>
          <w:rFonts w:asciiTheme="majorHAnsi" w:hAnsiTheme="majorHAnsi"/>
          <w:color w:val="000000"/>
        </w:rPr>
        <w:t>his means that approximately $1</w:t>
      </w:r>
      <w:r w:rsidR="00087450">
        <w:rPr>
          <w:rFonts w:asciiTheme="majorHAnsi" w:hAnsiTheme="majorHAnsi"/>
          <w:color w:val="000000"/>
        </w:rPr>
        <w:t>6.</w:t>
      </w:r>
      <w:r w:rsidR="00AE2798">
        <w:rPr>
          <w:rFonts w:asciiTheme="majorHAnsi" w:hAnsiTheme="majorHAnsi"/>
          <w:color w:val="000000"/>
        </w:rPr>
        <w:t>80</w:t>
      </w:r>
      <w:r w:rsidRPr="00067F5B">
        <w:rPr>
          <w:rFonts w:asciiTheme="majorHAnsi" w:hAnsiTheme="majorHAnsi"/>
          <w:color w:val="000000"/>
        </w:rPr>
        <w:t>/</w:t>
      </w:r>
      <w:proofErr w:type="spellStart"/>
      <w:r w:rsidRPr="00067F5B">
        <w:rPr>
          <w:rFonts w:asciiTheme="majorHAnsi" w:hAnsiTheme="majorHAnsi"/>
          <w:color w:val="000000"/>
        </w:rPr>
        <w:t>hr</w:t>
      </w:r>
      <w:proofErr w:type="spellEnd"/>
      <w:r w:rsidRPr="00067F5B">
        <w:rPr>
          <w:rFonts w:asciiTheme="majorHAnsi" w:hAnsiTheme="majorHAnsi"/>
          <w:color w:val="000000"/>
        </w:rPr>
        <w:t xml:space="preserve"> is charged to </w:t>
      </w:r>
      <w:r w:rsidR="00D703FE">
        <w:rPr>
          <w:rFonts w:asciiTheme="majorHAnsi" w:hAnsiTheme="majorHAnsi"/>
          <w:color w:val="000000"/>
        </w:rPr>
        <w:t>the</w:t>
      </w:r>
      <w:r w:rsidR="00D703FE" w:rsidRPr="00067F5B">
        <w:rPr>
          <w:rFonts w:asciiTheme="majorHAnsi" w:hAnsiTheme="majorHAnsi"/>
          <w:color w:val="000000"/>
        </w:rPr>
        <w:t xml:space="preserve"> </w:t>
      </w:r>
      <w:r w:rsidR="00FC54F8">
        <w:rPr>
          <w:rFonts w:asciiTheme="majorHAnsi" w:hAnsiTheme="majorHAnsi"/>
          <w:color w:val="000000"/>
        </w:rPr>
        <w:t>grant. This calculation ($1</w:t>
      </w:r>
      <w:r w:rsidR="00AE2798">
        <w:rPr>
          <w:rFonts w:asciiTheme="majorHAnsi" w:hAnsiTheme="majorHAnsi"/>
          <w:color w:val="000000"/>
        </w:rPr>
        <w:t>5</w:t>
      </w:r>
      <w:r w:rsidRPr="00067F5B">
        <w:rPr>
          <w:rFonts w:asciiTheme="majorHAnsi" w:hAnsiTheme="majorHAnsi"/>
          <w:color w:val="000000"/>
        </w:rPr>
        <w:t xml:space="preserve">.00 + </w:t>
      </w:r>
      <w:r w:rsidR="00AE2798">
        <w:rPr>
          <w:rFonts w:asciiTheme="majorHAnsi" w:hAnsiTheme="majorHAnsi"/>
          <w:color w:val="000000"/>
        </w:rPr>
        <w:t>12</w:t>
      </w:r>
      <w:r w:rsidRPr="00067F5B">
        <w:rPr>
          <w:rFonts w:asciiTheme="majorHAnsi" w:hAnsiTheme="majorHAnsi"/>
          <w:color w:val="000000"/>
        </w:rPr>
        <w:t xml:space="preserve">%) must appear on </w:t>
      </w:r>
      <w:r w:rsidR="00D703FE">
        <w:rPr>
          <w:rFonts w:asciiTheme="majorHAnsi" w:hAnsiTheme="majorHAnsi"/>
          <w:color w:val="000000"/>
        </w:rPr>
        <w:t>the</w:t>
      </w:r>
      <w:r w:rsidR="00D703FE" w:rsidRPr="00067F5B">
        <w:rPr>
          <w:rFonts w:asciiTheme="majorHAnsi" w:hAnsiTheme="majorHAnsi"/>
          <w:color w:val="000000"/>
        </w:rPr>
        <w:t xml:space="preserve"> </w:t>
      </w:r>
      <w:r w:rsidRPr="00067F5B">
        <w:rPr>
          <w:rFonts w:asciiTheme="majorHAnsi" w:hAnsiTheme="majorHAnsi"/>
          <w:color w:val="000000"/>
        </w:rPr>
        <w:t>budget request</w:t>
      </w:r>
      <w:r w:rsidR="00D703FE">
        <w:rPr>
          <w:rFonts w:asciiTheme="majorHAnsi" w:hAnsiTheme="majorHAnsi"/>
          <w:color w:val="000000"/>
        </w:rPr>
        <w:t>s</w:t>
      </w:r>
      <w:r w:rsidRPr="00067F5B">
        <w:rPr>
          <w:rFonts w:asciiTheme="majorHAnsi" w:hAnsiTheme="majorHAnsi"/>
          <w:color w:val="000000"/>
        </w:rPr>
        <w:t xml:space="preserve"> in internal grant application</w:t>
      </w:r>
      <w:r w:rsidR="00D703FE">
        <w:rPr>
          <w:rFonts w:asciiTheme="majorHAnsi" w:hAnsiTheme="majorHAnsi"/>
          <w:color w:val="000000"/>
        </w:rPr>
        <w:t>s</w:t>
      </w:r>
      <w:r w:rsidRPr="00067F5B">
        <w:rPr>
          <w:rFonts w:asciiTheme="majorHAnsi" w:hAnsiTheme="majorHAnsi"/>
          <w:color w:val="000000"/>
        </w:rPr>
        <w:t xml:space="preserve">. In the case of the example above, the amount paid to </w:t>
      </w:r>
      <w:r w:rsidR="00D703FE">
        <w:rPr>
          <w:rFonts w:asciiTheme="majorHAnsi" w:hAnsiTheme="majorHAnsi"/>
          <w:color w:val="000000"/>
        </w:rPr>
        <w:t>a</w:t>
      </w:r>
      <w:r w:rsidR="00D703FE" w:rsidRPr="00067F5B">
        <w:rPr>
          <w:rFonts w:asciiTheme="majorHAnsi" w:hAnsiTheme="majorHAnsi"/>
          <w:color w:val="000000"/>
        </w:rPr>
        <w:t xml:space="preserve"> </w:t>
      </w:r>
      <w:r w:rsidRPr="00067F5B">
        <w:rPr>
          <w:rFonts w:asciiTheme="majorHAnsi" w:hAnsiTheme="majorHAnsi"/>
          <w:color w:val="000000"/>
        </w:rPr>
        <w:t>research assistant (in te</w:t>
      </w:r>
      <w:r w:rsidR="00FC54F8">
        <w:rPr>
          <w:rFonts w:asciiTheme="majorHAnsi" w:hAnsiTheme="majorHAnsi"/>
          <w:color w:val="000000"/>
        </w:rPr>
        <w:t xml:space="preserve">rms of </w:t>
      </w:r>
      <w:proofErr w:type="gramStart"/>
      <w:r w:rsidR="00FC54F8">
        <w:rPr>
          <w:rFonts w:asciiTheme="majorHAnsi" w:hAnsiTheme="majorHAnsi"/>
          <w:color w:val="000000"/>
        </w:rPr>
        <w:t>take home</w:t>
      </w:r>
      <w:proofErr w:type="gramEnd"/>
      <w:r w:rsidR="00FC54F8">
        <w:rPr>
          <w:rFonts w:asciiTheme="majorHAnsi" w:hAnsiTheme="majorHAnsi"/>
          <w:color w:val="000000"/>
        </w:rPr>
        <w:t xml:space="preserve"> pay) is NOT $</w:t>
      </w:r>
      <w:r w:rsidR="00087450">
        <w:rPr>
          <w:rFonts w:asciiTheme="majorHAnsi" w:hAnsiTheme="majorHAnsi"/>
          <w:color w:val="000000"/>
        </w:rPr>
        <w:t>16.</w:t>
      </w:r>
      <w:r w:rsidR="00AE2798">
        <w:rPr>
          <w:rFonts w:asciiTheme="majorHAnsi" w:hAnsiTheme="majorHAnsi"/>
          <w:color w:val="000000"/>
        </w:rPr>
        <w:t>80</w:t>
      </w:r>
      <w:r w:rsidRPr="00067F5B">
        <w:rPr>
          <w:rFonts w:asciiTheme="majorHAnsi" w:hAnsiTheme="majorHAnsi"/>
          <w:color w:val="000000"/>
        </w:rPr>
        <w:t xml:space="preserve">/hr. The actual amount paid to </w:t>
      </w:r>
      <w:r w:rsidR="00D703FE">
        <w:rPr>
          <w:rFonts w:asciiTheme="majorHAnsi" w:hAnsiTheme="majorHAnsi"/>
          <w:color w:val="000000"/>
        </w:rPr>
        <w:t>a</w:t>
      </w:r>
      <w:r w:rsidR="00D703FE" w:rsidRPr="00067F5B">
        <w:rPr>
          <w:rFonts w:asciiTheme="majorHAnsi" w:hAnsiTheme="majorHAnsi"/>
          <w:color w:val="000000"/>
        </w:rPr>
        <w:t xml:space="preserve"> </w:t>
      </w:r>
      <w:r w:rsidR="00FC54F8">
        <w:rPr>
          <w:rFonts w:asciiTheme="majorHAnsi" w:hAnsiTheme="majorHAnsi"/>
          <w:color w:val="000000"/>
        </w:rPr>
        <w:t>research assistant is $1</w:t>
      </w:r>
      <w:r w:rsidR="00AE2798">
        <w:rPr>
          <w:rFonts w:asciiTheme="majorHAnsi" w:hAnsiTheme="majorHAnsi"/>
          <w:color w:val="000000"/>
        </w:rPr>
        <w:t>5</w:t>
      </w:r>
      <w:r w:rsidRPr="00067F5B">
        <w:rPr>
          <w:rFonts w:asciiTheme="majorHAnsi" w:hAnsiTheme="majorHAnsi"/>
          <w:color w:val="000000"/>
        </w:rPr>
        <w:t>/</w:t>
      </w:r>
      <w:proofErr w:type="spellStart"/>
      <w:r w:rsidRPr="00067F5B">
        <w:rPr>
          <w:rFonts w:asciiTheme="majorHAnsi" w:hAnsiTheme="majorHAnsi"/>
          <w:color w:val="000000"/>
        </w:rPr>
        <w:t>hr</w:t>
      </w:r>
      <w:proofErr w:type="spellEnd"/>
      <w:r w:rsidRPr="00067F5B">
        <w:rPr>
          <w:rFonts w:asciiTheme="majorHAnsi" w:hAnsiTheme="majorHAnsi"/>
          <w:color w:val="000000"/>
        </w:rPr>
        <w:t xml:space="preserve"> plus 4%. The employer portions of CPP and EI are a cost to the grant. </w:t>
      </w:r>
      <w:r w:rsidR="00D703FE">
        <w:rPr>
          <w:rFonts w:asciiTheme="majorHAnsi" w:hAnsiTheme="majorHAnsi"/>
          <w:color w:val="000000"/>
        </w:rPr>
        <w:t xml:space="preserve">Research </w:t>
      </w:r>
      <w:r w:rsidR="001A5055">
        <w:rPr>
          <w:rFonts w:asciiTheme="majorHAnsi" w:hAnsiTheme="majorHAnsi"/>
          <w:color w:val="000000"/>
        </w:rPr>
        <w:t>Assistants</w:t>
      </w:r>
      <w:r w:rsidRPr="00067F5B">
        <w:rPr>
          <w:rFonts w:asciiTheme="majorHAnsi" w:hAnsiTheme="majorHAnsi"/>
          <w:color w:val="000000"/>
        </w:rPr>
        <w:t xml:space="preserve"> should </w:t>
      </w:r>
      <w:r w:rsidR="00D703FE">
        <w:rPr>
          <w:rFonts w:asciiTheme="majorHAnsi" w:hAnsiTheme="majorHAnsi"/>
          <w:color w:val="000000"/>
        </w:rPr>
        <w:t xml:space="preserve">be advised of the actual </w:t>
      </w:r>
      <w:r w:rsidRPr="00067F5B">
        <w:rPr>
          <w:rFonts w:asciiTheme="majorHAnsi" w:hAnsiTheme="majorHAnsi"/>
          <w:color w:val="000000"/>
        </w:rPr>
        <w:t xml:space="preserve">hourly rate of pay they should expect. </w:t>
      </w:r>
    </w:p>
    <w:p w14:paraId="2305C945" w14:textId="77777777" w:rsidR="00C85F16" w:rsidRDefault="00C85F16" w:rsidP="001A5055">
      <w:pPr>
        <w:pStyle w:val="NormalWeb"/>
        <w:spacing w:before="0" w:beforeAutospacing="0" w:after="0" w:afterAutospacing="0"/>
        <w:rPr>
          <w:rFonts w:asciiTheme="majorHAnsi" w:hAnsiTheme="majorHAnsi"/>
          <w:color w:val="000000"/>
        </w:rPr>
      </w:pPr>
    </w:p>
    <w:p w14:paraId="30072247" w14:textId="77777777" w:rsidR="00C85F16" w:rsidRPr="00067F5B" w:rsidRDefault="00C85F16" w:rsidP="001A5055">
      <w:pPr>
        <w:pStyle w:val="NormalWeb"/>
        <w:spacing w:before="0" w:beforeAutospacing="0" w:after="0" w:afterAutospacing="0"/>
        <w:rPr>
          <w:rFonts w:asciiTheme="majorHAnsi" w:hAnsiTheme="majorHAnsi"/>
          <w:color w:val="000000"/>
        </w:rPr>
      </w:pPr>
      <w:r>
        <w:rPr>
          <w:rFonts w:asciiTheme="majorHAnsi" w:hAnsiTheme="majorHAnsi"/>
          <w:color w:val="000000"/>
        </w:rPr>
        <w:t xml:space="preserve">Note: Students </w:t>
      </w:r>
      <w:r w:rsidR="004E48A2">
        <w:rPr>
          <w:rFonts w:asciiTheme="majorHAnsi" w:hAnsiTheme="majorHAnsi"/>
          <w:color w:val="000000"/>
        </w:rPr>
        <w:t>will</w:t>
      </w:r>
      <w:r>
        <w:rPr>
          <w:rFonts w:asciiTheme="majorHAnsi" w:hAnsiTheme="majorHAnsi"/>
          <w:color w:val="000000"/>
        </w:rPr>
        <w:t xml:space="preserve"> not be paid through an internal grant to conduct research for their own work (e.g., thesis, directed studies)</w:t>
      </w:r>
    </w:p>
    <w:p w14:paraId="1CBAB8D7" w14:textId="77777777" w:rsidR="003E5C7D" w:rsidRPr="00067F5B" w:rsidRDefault="003E5C7D" w:rsidP="001A5055">
      <w:pPr>
        <w:pStyle w:val="NormalWeb"/>
        <w:spacing w:before="0" w:beforeAutospacing="0" w:after="0" w:afterAutospacing="0"/>
        <w:rPr>
          <w:rFonts w:asciiTheme="majorHAnsi" w:hAnsiTheme="majorHAnsi"/>
          <w:color w:val="000000"/>
        </w:rPr>
      </w:pPr>
    </w:p>
    <w:p w14:paraId="4251C8AD" w14:textId="493142C5" w:rsidR="003E5C7D" w:rsidRPr="00067F5B" w:rsidRDefault="003E5C7D" w:rsidP="001A5055">
      <w:pPr>
        <w:pStyle w:val="NormalWeb"/>
        <w:spacing w:before="0" w:beforeAutospacing="0" w:after="0" w:afterAutospacing="0"/>
        <w:rPr>
          <w:rFonts w:asciiTheme="majorHAnsi" w:hAnsiTheme="majorHAnsi"/>
          <w:color w:val="000000"/>
        </w:rPr>
      </w:pPr>
      <w:r w:rsidRPr="00067F5B">
        <w:rPr>
          <w:rFonts w:asciiTheme="majorHAnsi" w:hAnsiTheme="majorHAnsi"/>
          <w:color w:val="000000"/>
        </w:rPr>
        <w:t xml:space="preserve">Hiring assistants requires paperwork </w:t>
      </w:r>
      <w:r w:rsidR="00554F12">
        <w:rPr>
          <w:rFonts w:asciiTheme="majorHAnsi" w:hAnsiTheme="majorHAnsi"/>
          <w:color w:val="000000"/>
        </w:rPr>
        <w:t xml:space="preserve">to be submitted to </w:t>
      </w:r>
      <w:r w:rsidRPr="00067F5B">
        <w:rPr>
          <w:rFonts w:asciiTheme="majorHAnsi" w:hAnsiTheme="majorHAnsi"/>
          <w:color w:val="000000"/>
        </w:rPr>
        <w:t xml:space="preserve">Payroll (not the Research Office). </w:t>
      </w:r>
      <w:r w:rsidR="00554F12">
        <w:rPr>
          <w:rFonts w:asciiTheme="majorHAnsi" w:hAnsiTheme="majorHAnsi"/>
          <w:color w:val="000000"/>
        </w:rPr>
        <w:t>All required forms are available through the Document Centre on the MSVU Intranet (forms are under</w:t>
      </w:r>
      <w:r w:rsidR="00AE2798">
        <w:rPr>
          <w:rFonts w:asciiTheme="majorHAnsi" w:hAnsiTheme="majorHAnsi"/>
          <w:color w:val="000000"/>
        </w:rPr>
        <w:t xml:space="preserve"> Payroll</w:t>
      </w:r>
      <w:r w:rsidR="00554F12">
        <w:rPr>
          <w:rFonts w:asciiTheme="majorHAnsi" w:hAnsiTheme="majorHAnsi"/>
          <w:color w:val="000000"/>
        </w:rPr>
        <w:t>)</w:t>
      </w:r>
      <w:r w:rsidR="00AE2798">
        <w:rPr>
          <w:rFonts w:asciiTheme="majorHAnsi" w:hAnsiTheme="majorHAnsi"/>
          <w:color w:val="000000"/>
        </w:rPr>
        <w:t>.</w:t>
      </w:r>
      <w:r w:rsidR="00554F12">
        <w:rPr>
          <w:rFonts w:asciiTheme="majorHAnsi" w:hAnsiTheme="majorHAnsi"/>
          <w:color w:val="000000"/>
        </w:rPr>
        <w:t xml:space="preserve"> These forms are required </w:t>
      </w:r>
      <w:r w:rsidR="00FA15F4">
        <w:rPr>
          <w:rFonts w:asciiTheme="majorHAnsi" w:hAnsiTheme="majorHAnsi"/>
          <w:color w:val="000000"/>
        </w:rPr>
        <w:t xml:space="preserve">to </w:t>
      </w:r>
      <w:r w:rsidR="00FA15F4" w:rsidRPr="00067F5B">
        <w:rPr>
          <w:rFonts w:asciiTheme="majorHAnsi" w:hAnsiTheme="majorHAnsi"/>
          <w:color w:val="000000"/>
        </w:rPr>
        <w:t>ensure</w:t>
      </w:r>
      <w:r w:rsidRPr="00067F5B">
        <w:rPr>
          <w:rFonts w:asciiTheme="majorHAnsi" w:hAnsiTheme="majorHAnsi"/>
          <w:color w:val="000000"/>
        </w:rPr>
        <w:t xml:space="preserve"> that research assistants will be paid accurately, and to clear up any additional questions about the hourly rate of pay as it is listed on the forms. All casual worksheets should include information about the hourly rate of pay.  </w:t>
      </w:r>
    </w:p>
    <w:p w14:paraId="568C7401" w14:textId="77777777" w:rsidR="003E5C7D" w:rsidRPr="00067F5B" w:rsidRDefault="003E5C7D" w:rsidP="001A5055">
      <w:pPr>
        <w:pStyle w:val="NormalWeb"/>
        <w:spacing w:before="0" w:beforeAutospacing="0" w:after="0" w:afterAutospacing="0"/>
        <w:rPr>
          <w:rFonts w:asciiTheme="majorHAnsi" w:hAnsiTheme="majorHAnsi"/>
          <w:color w:val="000000"/>
        </w:rPr>
      </w:pPr>
    </w:p>
    <w:p w14:paraId="654B3E6D" w14:textId="77777777" w:rsidR="003E5C7D" w:rsidRPr="00067F5B" w:rsidRDefault="00554F12" w:rsidP="001A5055">
      <w:pPr>
        <w:pStyle w:val="NormalWeb"/>
        <w:spacing w:before="0" w:beforeAutospacing="0" w:after="0" w:afterAutospacing="0"/>
        <w:rPr>
          <w:rFonts w:asciiTheme="majorHAnsi" w:hAnsiTheme="majorHAnsi"/>
          <w:color w:val="000000"/>
        </w:rPr>
      </w:pPr>
      <w:r>
        <w:rPr>
          <w:rFonts w:asciiTheme="majorHAnsi" w:hAnsiTheme="majorHAnsi"/>
          <w:color w:val="000000"/>
        </w:rPr>
        <w:t>R</w:t>
      </w:r>
      <w:r w:rsidR="003E5C7D" w:rsidRPr="00067F5B">
        <w:rPr>
          <w:rFonts w:asciiTheme="majorHAnsi" w:hAnsiTheme="majorHAnsi"/>
          <w:color w:val="000000"/>
        </w:rPr>
        <w:t xml:space="preserve">esearchers </w:t>
      </w:r>
      <w:r>
        <w:rPr>
          <w:rFonts w:asciiTheme="majorHAnsi" w:hAnsiTheme="majorHAnsi"/>
          <w:color w:val="000000"/>
        </w:rPr>
        <w:t>must</w:t>
      </w:r>
      <w:r w:rsidRPr="00067F5B">
        <w:rPr>
          <w:rFonts w:asciiTheme="majorHAnsi" w:hAnsiTheme="majorHAnsi"/>
          <w:color w:val="000000"/>
        </w:rPr>
        <w:t xml:space="preserve"> </w:t>
      </w:r>
      <w:r w:rsidR="003E5C7D" w:rsidRPr="00067F5B">
        <w:rPr>
          <w:rFonts w:asciiTheme="majorHAnsi" w:hAnsiTheme="majorHAnsi"/>
          <w:color w:val="000000"/>
        </w:rPr>
        <w:t>monitor their expenditures closely. The monthly account may not reflect all current charges to date.</w:t>
      </w:r>
      <w:r w:rsidR="001A5055">
        <w:rPr>
          <w:rFonts w:asciiTheme="majorHAnsi" w:hAnsiTheme="majorHAnsi"/>
          <w:color w:val="000000"/>
        </w:rPr>
        <w:t xml:space="preserve"> Researchers are responsible for budget management of research accounts, including any over-expenditures.</w:t>
      </w:r>
    </w:p>
    <w:p w14:paraId="12A6C34D" w14:textId="77777777" w:rsidR="003E5C7D" w:rsidRPr="00067F5B" w:rsidRDefault="003E5C7D" w:rsidP="001A5055">
      <w:pPr>
        <w:pStyle w:val="Heading2"/>
        <w:rPr>
          <w:color w:val="000000"/>
          <w:sz w:val="24"/>
          <w:szCs w:val="24"/>
        </w:rPr>
      </w:pPr>
      <w:bookmarkStart w:id="2" w:name="_Toc161112730"/>
      <w:r w:rsidRPr="00067F5B">
        <w:rPr>
          <w:color w:val="000000"/>
          <w:sz w:val="24"/>
          <w:szCs w:val="24"/>
        </w:rPr>
        <w:t>Travel and Subsistence</w:t>
      </w:r>
      <w:bookmarkEnd w:id="2"/>
    </w:p>
    <w:p w14:paraId="229F2370" w14:textId="01DB55BD" w:rsidR="003E5C7D" w:rsidRDefault="003E5C7D" w:rsidP="001A50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 w:val="24"/>
          <w:szCs w:val="24"/>
        </w:rPr>
      </w:pPr>
      <w:r w:rsidRPr="00067F5B">
        <w:rPr>
          <w:rFonts w:asciiTheme="majorHAnsi" w:hAnsiTheme="majorHAnsi"/>
          <w:color w:val="000000"/>
          <w:sz w:val="24"/>
          <w:szCs w:val="24"/>
        </w:rPr>
        <w:t xml:space="preserve">When the Committee is considering requests for funds to do research </w:t>
      </w:r>
      <w:r w:rsidR="00D703FE">
        <w:rPr>
          <w:rFonts w:asciiTheme="majorHAnsi" w:hAnsiTheme="majorHAnsi"/>
          <w:color w:val="000000"/>
          <w:sz w:val="24"/>
          <w:szCs w:val="24"/>
        </w:rPr>
        <w:t>that requires travel</w:t>
      </w:r>
      <w:r w:rsidRPr="00067F5B">
        <w:rPr>
          <w:rFonts w:asciiTheme="majorHAnsi" w:hAnsiTheme="majorHAnsi"/>
          <w:color w:val="000000"/>
          <w:sz w:val="24"/>
          <w:szCs w:val="24"/>
        </w:rPr>
        <w:t>, the purpose of a research trip is paramount. The Committee's priority is to fund travel for which the explicit purpose is</w:t>
      </w:r>
      <w:r w:rsidR="00D703FE">
        <w:rPr>
          <w:rFonts w:asciiTheme="majorHAnsi" w:hAnsiTheme="majorHAnsi"/>
          <w:color w:val="000000"/>
          <w:sz w:val="24"/>
          <w:szCs w:val="24"/>
        </w:rPr>
        <w:t>:</w:t>
      </w:r>
      <w:r w:rsidRPr="00067F5B">
        <w:rPr>
          <w:rFonts w:asciiTheme="majorHAnsi" w:hAnsiTheme="majorHAnsi"/>
          <w:color w:val="000000"/>
          <w:sz w:val="24"/>
          <w:szCs w:val="24"/>
        </w:rPr>
        <w:t xml:space="preserve"> a) to allow the researcher access to </w:t>
      </w:r>
      <w:r w:rsidR="00D703FE">
        <w:rPr>
          <w:rFonts w:asciiTheme="majorHAnsi" w:hAnsiTheme="majorHAnsi"/>
          <w:color w:val="000000"/>
          <w:sz w:val="24"/>
          <w:szCs w:val="24"/>
        </w:rPr>
        <w:t xml:space="preserve">data or </w:t>
      </w:r>
      <w:r w:rsidRPr="00067F5B">
        <w:rPr>
          <w:rFonts w:asciiTheme="majorHAnsi" w:hAnsiTheme="majorHAnsi"/>
          <w:color w:val="000000"/>
          <w:sz w:val="24"/>
          <w:szCs w:val="24"/>
        </w:rPr>
        <w:t>resources which are not or cannot practically be made available locally; b) to allow the researcher the opportunity for consultation or collaboration with colleagues. If a Mount Saint Vincent University faculty member wishes to collaborate with a colleague at another university, the Committee must be satisfied that the consultation cannot be reasonably achieved by making use of technology currently available at the university (e.g., email, teleconferencing</w:t>
      </w:r>
      <w:r w:rsidR="001A5055">
        <w:rPr>
          <w:rFonts w:asciiTheme="majorHAnsi" w:hAnsiTheme="majorHAnsi"/>
          <w:color w:val="000000"/>
          <w:sz w:val="24"/>
          <w:szCs w:val="24"/>
        </w:rPr>
        <w:t>, video-conferencing</w:t>
      </w:r>
      <w:r w:rsidRPr="00067F5B">
        <w:rPr>
          <w:rFonts w:asciiTheme="majorHAnsi" w:hAnsiTheme="majorHAnsi"/>
          <w:color w:val="000000"/>
          <w:sz w:val="24"/>
          <w:szCs w:val="24"/>
        </w:rPr>
        <w:t xml:space="preserve">). Applicants should note that the Committee will be rigorous in considering travel requests. The onus is on the researcher to justify requests in support of </w:t>
      </w:r>
      <w:r w:rsidR="00554F12">
        <w:rPr>
          <w:rFonts w:asciiTheme="majorHAnsi" w:hAnsiTheme="majorHAnsi"/>
          <w:color w:val="000000"/>
          <w:sz w:val="24"/>
          <w:szCs w:val="24"/>
        </w:rPr>
        <w:t xml:space="preserve">research </w:t>
      </w:r>
      <w:r w:rsidRPr="00067F5B">
        <w:rPr>
          <w:rFonts w:asciiTheme="majorHAnsi" w:hAnsiTheme="majorHAnsi"/>
          <w:color w:val="000000"/>
          <w:sz w:val="24"/>
          <w:szCs w:val="24"/>
        </w:rPr>
        <w:t xml:space="preserve">travel. Applicants are also reminded that faculty conference expenses are </w:t>
      </w:r>
      <w:r w:rsidRPr="004E48A2">
        <w:rPr>
          <w:rFonts w:asciiTheme="majorHAnsi" w:hAnsiTheme="majorHAnsi"/>
          <w:b/>
          <w:color w:val="000000"/>
          <w:sz w:val="24"/>
          <w:szCs w:val="24"/>
        </w:rPr>
        <w:t>not</w:t>
      </w:r>
      <w:r w:rsidRPr="00067F5B">
        <w:rPr>
          <w:rFonts w:asciiTheme="majorHAnsi" w:hAnsiTheme="majorHAnsi"/>
          <w:color w:val="000000"/>
          <w:sz w:val="24"/>
          <w:szCs w:val="24"/>
        </w:rPr>
        <w:t xml:space="preserve"> eligible costs on an internal research grant. Please refer these applications to the Dean's Travel Committee in accordance with the procedures outlined in the Collective Agreement. The Committee </w:t>
      </w:r>
      <w:r w:rsidR="009E384F">
        <w:rPr>
          <w:rFonts w:asciiTheme="majorHAnsi" w:hAnsiTheme="majorHAnsi"/>
          <w:color w:val="000000"/>
          <w:sz w:val="24"/>
          <w:szCs w:val="24"/>
        </w:rPr>
        <w:t xml:space="preserve">on Research and Publications </w:t>
      </w:r>
      <w:r w:rsidRPr="00067F5B">
        <w:rPr>
          <w:rFonts w:asciiTheme="majorHAnsi" w:hAnsiTheme="majorHAnsi"/>
          <w:color w:val="000000"/>
          <w:sz w:val="24"/>
          <w:szCs w:val="24"/>
        </w:rPr>
        <w:t xml:space="preserve">supports initiatives to include student </w:t>
      </w:r>
      <w:r w:rsidRPr="00067F5B">
        <w:rPr>
          <w:rFonts w:asciiTheme="majorHAnsi" w:hAnsiTheme="majorHAnsi"/>
          <w:color w:val="000000"/>
          <w:sz w:val="24"/>
          <w:szCs w:val="24"/>
        </w:rPr>
        <w:lastRenderedPageBreak/>
        <w:t xml:space="preserve">research assistant participation in the development of research outcomes for presentation at scholarly conferences and within other public venues. The Committee </w:t>
      </w:r>
      <w:r w:rsidR="00554F12">
        <w:rPr>
          <w:rFonts w:asciiTheme="majorHAnsi" w:hAnsiTheme="majorHAnsi"/>
          <w:color w:val="000000"/>
          <w:sz w:val="24"/>
          <w:szCs w:val="24"/>
        </w:rPr>
        <w:t>follows</w:t>
      </w:r>
      <w:r w:rsidR="00554F12" w:rsidRPr="00067F5B">
        <w:rPr>
          <w:rFonts w:asciiTheme="majorHAnsi" w:hAnsiTheme="majorHAnsi"/>
          <w:color w:val="000000"/>
          <w:sz w:val="24"/>
          <w:szCs w:val="24"/>
        </w:rPr>
        <w:t xml:space="preserve"> </w:t>
      </w:r>
      <w:r w:rsidR="00554F12">
        <w:rPr>
          <w:rFonts w:asciiTheme="majorHAnsi" w:hAnsiTheme="majorHAnsi"/>
          <w:color w:val="000000"/>
          <w:sz w:val="24"/>
          <w:szCs w:val="24"/>
        </w:rPr>
        <w:t xml:space="preserve">the Tri-Council policies on </w:t>
      </w:r>
      <w:r w:rsidR="004E48A2" w:rsidRPr="004E48A2">
        <w:rPr>
          <w:rFonts w:asciiTheme="majorHAnsi" w:hAnsiTheme="majorHAnsi"/>
          <w:i/>
          <w:color w:val="000000"/>
          <w:sz w:val="24"/>
          <w:szCs w:val="24"/>
        </w:rPr>
        <w:t>Highly Qualified Personnel</w:t>
      </w:r>
      <w:r w:rsidR="004E48A2">
        <w:rPr>
          <w:rFonts w:asciiTheme="majorHAnsi" w:hAnsiTheme="majorHAnsi"/>
          <w:color w:val="000000"/>
          <w:sz w:val="24"/>
          <w:szCs w:val="24"/>
        </w:rPr>
        <w:t xml:space="preserve"> (</w:t>
      </w:r>
      <w:r w:rsidR="00554F12">
        <w:rPr>
          <w:rFonts w:asciiTheme="majorHAnsi" w:hAnsiTheme="majorHAnsi"/>
          <w:color w:val="000000"/>
          <w:sz w:val="24"/>
          <w:szCs w:val="24"/>
        </w:rPr>
        <w:t>HQP</w:t>
      </w:r>
      <w:r w:rsidR="004E48A2">
        <w:rPr>
          <w:rFonts w:asciiTheme="majorHAnsi" w:hAnsiTheme="majorHAnsi"/>
          <w:color w:val="000000"/>
          <w:sz w:val="24"/>
          <w:szCs w:val="24"/>
        </w:rPr>
        <w:t>)</w:t>
      </w:r>
      <w:r w:rsidR="00554F12">
        <w:rPr>
          <w:rFonts w:asciiTheme="majorHAnsi" w:hAnsiTheme="majorHAnsi"/>
          <w:color w:val="000000"/>
          <w:sz w:val="24"/>
          <w:szCs w:val="24"/>
        </w:rPr>
        <w:t xml:space="preserve">, that is, </w:t>
      </w:r>
      <w:r w:rsidRPr="00067F5B">
        <w:rPr>
          <w:rFonts w:asciiTheme="majorHAnsi" w:hAnsiTheme="majorHAnsi"/>
          <w:color w:val="000000"/>
          <w:sz w:val="24"/>
          <w:szCs w:val="24"/>
        </w:rPr>
        <w:t>student research assistant participation in these activities as contributory to their formation as researchers and scholars.  To this end, the Committee encourages applicants to budget travel and subsistence support for student research assistants.  Prevailing university guidelines for subsistence rates (e.g. hotel; per diem; and mileage) will apply.</w:t>
      </w:r>
    </w:p>
    <w:p w14:paraId="4E1F3795" w14:textId="3947DBF6" w:rsidR="00B27344" w:rsidRPr="00067F5B" w:rsidRDefault="00B27344" w:rsidP="001A50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 w:val="24"/>
          <w:szCs w:val="24"/>
        </w:rPr>
      </w:pPr>
      <w:r>
        <w:rPr>
          <w:rFonts w:asciiTheme="majorHAnsi" w:hAnsiTheme="majorHAnsi"/>
          <w:color w:val="000000"/>
          <w:sz w:val="24"/>
          <w:szCs w:val="24"/>
        </w:rPr>
        <w:t xml:space="preserve">Please note that per diems and mileage are </w:t>
      </w:r>
      <w:r w:rsidR="003A6500">
        <w:rPr>
          <w:rFonts w:asciiTheme="majorHAnsi" w:hAnsiTheme="majorHAnsi"/>
          <w:color w:val="000000"/>
          <w:sz w:val="24"/>
          <w:szCs w:val="24"/>
        </w:rPr>
        <w:t>specified</w:t>
      </w:r>
      <w:r>
        <w:rPr>
          <w:rFonts w:asciiTheme="majorHAnsi" w:hAnsiTheme="majorHAnsi"/>
          <w:color w:val="000000"/>
          <w:sz w:val="24"/>
          <w:szCs w:val="24"/>
        </w:rPr>
        <w:t xml:space="preserve"> by Financial Services. Information can be located </w:t>
      </w:r>
      <w:r w:rsidR="003A6500">
        <w:rPr>
          <w:rFonts w:asciiTheme="majorHAnsi" w:hAnsiTheme="majorHAnsi"/>
          <w:color w:val="000000"/>
          <w:sz w:val="24"/>
          <w:szCs w:val="24"/>
        </w:rPr>
        <w:t xml:space="preserve">in the </w:t>
      </w:r>
      <w:r w:rsidR="003A6500" w:rsidRPr="004A65FF">
        <w:rPr>
          <w:rFonts w:asciiTheme="majorHAnsi" w:hAnsiTheme="majorHAnsi"/>
          <w:i/>
          <w:color w:val="000000"/>
          <w:sz w:val="24"/>
          <w:szCs w:val="24"/>
          <w:u w:val="single"/>
        </w:rPr>
        <w:t>Research Handbook</w:t>
      </w:r>
      <w:r w:rsidR="003A6500">
        <w:rPr>
          <w:rFonts w:asciiTheme="majorHAnsi" w:hAnsiTheme="majorHAnsi"/>
          <w:color w:val="000000"/>
          <w:sz w:val="24"/>
          <w:szCs w:val="24"/>
        </w:rPr>
        <w:t xml:space="preserve"> </w:t>
      </w:r>
      <w:r>
        <w:rPr>
          <w:rFonts w:asciiTheme="majorHAnsi" w:hAnsiTheme="majorHAnsi"/>
          <w:color w:val="000000"/>
          <w:sz w:val="24"/>
          <w:szCs w:val="24"/>
        </w:rPr>
        <w:t>on</w:t>
      </w:r>
      <w:r w:rsidR="003A6500">
        <w:rPr>
          <w:rFonts w:asciiTheme="majorHAnsi" w:hAnsiTheme="majorHAnsi"/>
          <w:color w:val="000000"/>
          <w:sz w:val="24"/>
          <w:szCs w:val="24"/>
        </w:rPr>
        <w:t xml:space="preserve"> the intranet at intranet.msvu.ca – Documents&gt; Financial Services&gt; Reference Material</w:t>
      </w:r>
      <w:bookmarkStart w:id="3" w:name="_Hlk99522878"/>
      <w:bookmarkStart w:id="4" w:name="_GoBack"/>
      <w:r w:rsidR="0029210F">
        <w:rPr>
          <w:rFonts w:asciiTheme="majorHAnsi" w:hAnsiTheme="majorHAnsi"/>
          <w:color w:val="000000"/>
          <w:sz w:val="24"/>
          <w:szCs w:val="24"/>
        </w:rPr>
        <w:t xml:space="preserve">, or on the Research Office’s Research Resources page on the intranet. </w:t>
      </w:r>
    </w:p>
    <w:p w14:paraId="1EA43C4D" w14:textId="77777777" w:rsidR="003E5C7D" w:rsidRPr="00067F5B" w:rsidRDefault="003E5C7D" w:rsidP="001A5055">
      <w:pPr>
        <w:pStyle w:val="Heading2"/>
        <w:rPr>
          <w:color w:val="000000"/>
          <w:sz w:val="24"/>
          <w:szCs w:val="24"/>
        </w:rPr>
      </w:pPr>
      <w:bookmarkStart w:id="5" w:name="_Toc161112731"/>
      <w:bookmarkEnd w:id="3"/>
      <w:bookmarkEnd w:id="4"/>
      <w:r w:rsidRPr="00067F5B">
        <w:rPr>
          <w:color w:val="000000"/>
          <w:sz w:val="24"/>
          <w:szCs w:val="24"/>
        </w:rPr>
        <w:t>Computer Hardware and Software</w:t>
      </w:r>
      <w:bookmarkEnd w:id="5"/>
      <w:r w:rsidRPr="00067F5B">
        <w:rPr>
          <w:color w:val="000000"/>
          <w:sz w:val="24"/>
          <w:szCs w:val="24"/>
        </w:rPr>
        <w:t xml:space="preserve">  </w:t>
      </w:r>
    </w:p>
    <w:p w14:paraId="1DAA2267" w14:textId="77777777" w:rsidR="003E5C7D" w:rsidRPr="00067F5B" w:rsidRDefault="003E5C7D" w:rsidP="001A50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 w:val="24"/>
          <w:szCs w:val="24"/>
        </w:rPr>
      </w:pPr>
      <w:r w:rsidRPr="00067F5B">
        <w:rPr>
          <w:rFonts w:asciiTheme="majorHAnsi" w:hAnsiTheme="majorHAnsi"/>
          <w:color w:val="000000"/>
          <w:sz w:val="24"/>
          <w:szCs w:val="24"/>
        </w:rPr>
        <w:t xml:space="preserve">The Committee funds requests for computer hardware and software purchases only in exceptional circumstances.  Such purchases </w:t>
      </w:r>
      <w:r w:rsidR="001A5055">
        <w:rPr>
          <w:rFonts w:asciiTheme="majorHAnsi" w:hAnsiTheme="majorHAnsi"/>
          <w:color w:val="000000"/>
          <w:sz w:val="24"/>
          <w:szCs w:val="24"/>
        </w:rPr>
        <w:t>are</w:t>
      </w:r>
      <w:r w:rsidRPr="00067F5B">
        <w:rPr>
          <w:rFonts w:asciiTheme="majorHAnsi" w:hAnsiTheme="majorHAnsi"/>
          <w:color w:val="000000"/>
          <w:sz w:val="24"/>
          <w:szCs w:val="24"/>
        </w:rPr>
        <w:t xml:space="preserve"> allowed only when the Committee </w:t>
      </w:r>
      <w:r w:rsidR="001A5055">
        <w:rPr>
          <w:rFonts w:asciiTheme="majorHAnsi" w:hAnsiTheme="majorHAnsi"/>
          <w:color w:val="000000"/>
          <w:sz w:val="24"/>
          <w:szCs w:val="24"/>
        </w:rPr>
        <w:t>is</w:t>
      </w:r>
      <w:r w:rsidRPr="00067F5B">
        <w:rPr>
          <w:rFonts w:asciiTheme="majorHAnsi" w:hAnsiTheme="majorHAnsi"/>
          <w:color w:val="000000"/>
          <w:sz w:val="24"/>
          <w:szCs w:val="24"/>
        </w:rPr>
        <w:t xml:space="preserve"> convinced that the requested computer equipment </w:t>
      </w:r>
      <w:r w:rsidR="001A5055">
        <w:rPr>
          <w:rFonts w:asciiTheme="majorHAnsi" w:hAnsiTheme="majorHAnsi"/>
          <w:color w:val="000000"/>
          <w:sz w:val="24"/>
          <w:szCs w:val="24"/>
        </w:rPr>
        <w:t>is</w:t>
      </w:r>
      <w:r w:rsidR="001A5055" w:rsidRPr="00067F5B">
        <w:rPr>
          <w:rFonts w:asciiTheme="majorHAnsi" w:hAnsiTheme="majorHAnsi"/>
          <w:color w:val="000000"/>
          <w:sz w:val="24"/>
          <w:szCs w:val="24"/>
        </w:rPr>
        <w:t xml:space="preserve"> </w:t>
      </w:r>
      <w:r w:rsidRPr="00067F5B">
        <w:rPr>
          <w:rFonts w:asciiTheme="majorHAnsi" w:hAnsiTheme="majorHAnsi"/>
          <w:color w:val="000000"/>
          <w:sz w:val="24"/>
          <w:szCs w:val="24"/>
        </w:rPr>
        <w:t>essential for the conduct of the proposed research. The fact that an expense is eligible and justifiable does not mean th</w:t>
      </w:r>
      <w:r w:rsidR="00726AEA">
        <w:rPr>
          <w:rFonts w:asciiTheme="majorHAnsi" w:hAnsiTheme="majorHAnsi"/>
          <w:color w:val="000000"/>
          <w:sz w:val="24"/>
          <w:szCs w:val="24"/>
        </w:rPr>
        <w:t>at approval is automatically granted</w:t>
      </w:r>
      <w:r w:rsidRPr="00067F5B">
        <w:rPr>
          <w:rFonts w:asciiTheme="majorHAnsi" w:hAnsiTheme="majorHAnsi"/>
          <w:color w:val="000000"/>
          <w:sz w:val="24"/>
          <w:szCs w:val="24"/>
        </w:rPr>
        <w:t>, even if a grant is given to conduct the research.</w:t>
      </w:r>
    </w:p>
    <w:p w14:paraId="22F68763" w14:textId="77777777" w:rsidR="003E5C7D" w:rsidRPr="00067F5B" w:rsidRDefault="003E5C7D" w:rsidP="009E38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Style w:val="Heading2Char"/>
          <w:color w:val="000000"/>
          <w:sz w:val="24"/>
          <w:szCs w:val="24"/>
        </w:rPr>
      </w:pPr>
      <w:bookmarkStart w:id="6" w:name="_Toc161112732"/>
      <w:r w:rsidRPr="00067F5B">
        <w:rPr>
          <w:rStyle w:val="Heading2Char"/>
          <w:color w:val="000000"/>
          <w:sz w:val="24"/>
          <w:szCs w:val="24"/>
        </w:rPr>
        <w:t>Cost for Purchase or Rental of Other Non-Disposable Equipment</w:t>
      </w:r>
      <w:bookmarkEnd w:id="6"/>
    </w:p>
    <w:p w14:paraId="66B49CC1" w14:textId="5D2D42E3" w:rsidR="003E5C7D" w:rsidRPr="00067F5B" w:rsidRDefault="003E5C7D" w:rsidP="009E38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HAnsi" w:hAnsiTheme="majorHAnsi"/>
          <w:color w:val="000000"/>
          <w:sz w:val="24"/>
          <w:szCs w:val="24"/>
        </w:rPr>
      </w:pPr>
      <w:r w:rsidRPr="00067F5B">
        <w:rPr>
          <w:rFonts w:asciiTheme="majorHAnsi" w:hAnsiTheme="majorHAnsi"/>
          <w:color w:val="000000"/>
          <w:sz w:val="24"/>
          <w:szCs w:val="24"/>
        </w:rPr>
        <w:t xml:space="preserve">Equipment purchases must be essential to the conduct of the research.  </w:t>
      </w:r>
      <w:r w:rsidRPr="00067F5B">
        <w:rPr>
          <w:rFonts w:asciiTheme="majorHAnsi" w:hAnsiTheme="majorHAnsi"/>
          <w:b/>
          <w:bCs/>
          <w:color w:val="000000"/>
          <w:sz w:val="24"/>
          <w:szCs w:val="24"/>
        </w:rPr>
        <w:t>Note:</w:t>
      </w:r>
      <w:r w:rsidRPr="00067F5B">
        <w:rPr>
          <w:rFonts w:asciiTheme="majorHAnsi" w:hAnsiTheme="majorHAnsi"/>
          <w:color w:val="000000"/>
          <w:sz w:val="24"/>
          <w:szCs w:val="24"/>
        </w:rPr>
        <w:t xml:space="preserve"> The </w:t>
      </w:r>
      <w:r w:rsidR="009E384F">
        <w:rPr>
          <w:rFonts w:asciiTheme="majorHAnsi" w:hAnsiTheme="majorHAnsi"/>
          <w:color w:val="000000"/>
          <w:sz w:val="24"/>
          <w:szCs w:val="24"/>
        </w:rPr>
        <w:t>Procurement</w:t>
      </w:r>
      <w:r w:rsidR="009E384F" w:rsidRPr="00067F5B">
        <w:rPr>
          <w:rFonts w:asciiTheme="majorHAnsi" w:hAnsiTheme="majorHAnsi"/>
          <w:color w:val="000000"/>
          <w:sz w:val="24"/>
          <w:szCs w:val="24"/>
        </w:rPr>
        <w:t xml:space="preserve"> </w:t>
      </w:r>
      <w:r w:rsidRPr="00067F5B">
        <w:rPr>
          <w:rFonts w:asciiTheme="majorHAnsi" w:hAnsiTheme="majorHAnsi"/>
          <w:color w:val="000000"/>
          <w:sz w:val="24"/>
          <w:szCs w:val="24"/>
        </w:rPr>
        <w:t>Department</w:t>
      </w:r>
      <w:r w:rsidR="00C45891">
        <w:rPr>
          <w:rFonts w:asciiTheme="majorHAnsi" w:hAnsiTheme="majorHAnsi"/>
          <w:color w:val="000000"/>
          <w:sz w:val="24"/>
          <w:szCs w:val="24"/>
        </w:rPr>
        <w:t xml:space="preserve"> and/or IT&amp;S</w:t>
      </w:r>
      <w:r w:rsidRPr="00067F5B">
        <w:rPr>
          <w:rFonts w:asciiTheme="majorHAnsi" w:hAnsiTheme="majorHAnsi"/>
          <w:color w:val="000000"/>
          <w:sz w:val="24"/>
          <w:szCs w:val="24"/>
        </w:rPr>
        <w:t xml:space="preserve"> must be consulted to obtain accurate quotes for non-disposable equipment and other appropriate items for any non-disposable capital items costing over $</w:t>
      </w:r>
      <w:r w:rsidR="00C45891">
        <w:rPr>
          <w:rFonts w:asciiTheme="majorHAnsi" w:hAnsiTheme="majorHAnsi"/>
          <w:color w:val="000000"/>
          <w:sz w:val="24"/>
          <w:szCs w:val="24"/>
        </w:rPr>
        <w:t>25</w:t>
      </w:r>
      <w:r w:rsidRPr="00067F5B">
        <w:rPr>
          <w:rFonts w:asciiTheme="majorHAnsi" w:hAnsiTheme="majorHAnsi"/>
          <w:color w:val="000000"/>
          <w:sz w:val="24"/>
          <w:szCs w:val="24"/>
        </w:rPr>
        <w:t xml:space="preserve">0.00. Also note that items purchased on internal grant funds are the property of the university. Consequently, anticipated purchases of non-disposable </w:t>
      </w:r>
      <w:r w:rsidR="00C45891">
        <w:rPr>
          <w:rFonts w:asciiTheme="majorHAnsi" w:hAnsiTheme="majorHAnsi"/>
          <w:color w:val="000000"/>
          <w:sz w:val="24"/>
          <w:szCs w:val="24"/>
        </w:rPr>
        <w:t xml:space="preserve">IT&amp;S </w:t>
      </w:r>
      <w:r w:rsidRPr="00067F5B">
        <w:rPr>
          <w:rFonts w:asciiTheme="majorHAnsi" w:hAnsiTheme="majorHAnsi"/>
          <w:color w:val="000000"/>
          <w:sz w:val="24"/>
          <w:szCs w:val="24"/>
        </w:rPr>
        <w:t>equipment such as desktop PCs and laptops must be reviewed by IT&amp;S for compatibility and for adherence to the MSVU Procurement Policy. All non-disposable capital equipment purchased must be registered with IT&amp;S and receive an asset number.</w:t>
      </w:r>
    </w:p>
    <w:p w14:paraId="7EE63050" w14:textId="77777777" w:rsidR="003E5C7D" w:rsidRPr="00DD0907" w:rsidRDefault="003E5C7D" w:rsidP="00F973C8">
      <w:pPr>
        <w:rPr>
          <w:rFonts w:asciiTheme="majorHAnsi" w:hAnsiTheme="majorHAnsi"/>
          <w:sz w:val="24"/>
          <w:szCs w:val="24"/>
        </w:rPr>
      </w:pPr>
    </w:p>
    <w:sectPr w:rsidR="003E5C7D" w:rsidRPr="00DD0907" w:rsidSect="00541308">
      <w:footerReference w:type="defaul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B96B" w14:textId="77777777" w:rsidR="008476D9" w:rsidRDefault="008476D9" w:rsidP="00C142DD">
      <w:pPr>
        <w:spacing w:after="0" w:line="240" w:lineRule="auto"/>
      </w:pPr>
      <w:r>
        <w:separator/>
      </w:r>
    </w:p>
  </w:endnote>
  <w:endnote w:type="continuationSeparator" w:id="0">
    <w:p w14:paraId="24862367" w14:textId="77777777" w:rsidR="008476D9" w:rsidRDefault="008476D9" w:rsidP="00C1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A2B0" w14:textId="77777777" w:rsidR="00B27344" w:rsidRDefault="00B27344">
    <w:pPr>
      <w:pStyle w:val="Footer"/>
      <w:pBdr>
        <w:top w:val="thinThickSmallGap" w:sz="24" w:space="1" w:color="622423" w:themeColor="accent2" w:themeShade="7F"/>
      </w:pBdr>
      <w:rPr>
        <w:rFonts w:asciiTheme="majorHAnsi" w:hAnsiTheme="majorHAnsi"/>
      </w:rPr>
    </w:pPr>
    <w:r>
      <w:rPr>
        <w:rFonts w:asciiTheme="majorHAnsi" w:hAnsiTheme="majorHAnsi"/>
      </w:rPr>
      <w:t>CRP.SOP.004 Budget Management</w:t>
    </w:r>
  </w:p>
  <w:p w14:paraId="6C30F521" w14:textId="038A60B0" w:rsidR="00B27344" w:rsidRDefault="00E54B73">
    <w:pPr>
      <w:pStyle w:val="Footer"/>
      <w:pBdr>
        <w:top w:val="thinThickSmallGap" w:sz="24" w:space="1" w:color="622423" w:themeColor="accent2" w:themeShade="7F"/>
      </w:pBdr>
      <w:rPr>
        <w:rFonts w:asciiTheme="majorHAnsi" w:hAnsiTheme="majorHAnsi"/>
      </w:rPr>
    </w:pPr>
    <w:r>
      <w:rPr>
        <w:rFonts w:asciiTheme="majorHAnsi" w:hAnsiTheme="majorHAnsi"/>
      </w:rPr>
      <w:t xml:space="preserve">Last updated: </w:t>
    </w:r>
    <w:r w:rsidR="00087450">
      <w:rPr>
        <w:rFonts w:asciiTheme="majorHAnsi" w:hAnsiTheme="majorHAnsi"/>
      </w:rPr>
      <w:t>April</w:t>
    </w:r>
    <w:r>
      <w:rPr>
        <w:rFonts w:asciiTheme="majorHAnsi" w:hAnsiTheme="majorHAnsi"/>
      </w:rPr>
      <w:t xml:space="preserve"> 1, 20</w:t>
    </w:r>
    <w:r w:rsidR="00087450">
      <w:rPr>
        <w:rFonts w:asciiTheme="majorHAnsi" w:hAnsiTheme="majorHAnsi"/>
      </w:rPr>
      <w:t>2</w:t>
    </w:r>
    <w:r w:rsidR="00540AC6">
      <w:rPr>
        <w:rFonts w:asciiTheme="majorHAnsi" w:hAnsiTheme="majorHAnsi"/>
      </w:rPr>
      <w:t>2</w:t>
    </w:r>
    <w:r w:rsidR="00B27344">
      <w:rPr>
        <w:rFonts w:asciiTheme="majorHAnsi" w:hAnsiTheme="majorHAnsi"/>
      </w:rPr>
      <w:ptab w:relativeTo="margin" w:alignment="right" w:leader="none"/>
    </w:r>
    <w:r w:rsidR="00B27344">
      <w:rPr>
        <w:rFonts w:asciiTheme="majorHAnsi" w:hAnsiTheme="majorHAnsi"/>
      </w:rPr>
      <w:t xml:space="preserve">Page </w:t>
    </w:r>
    <w:r w:rsidR="00B27344">
      <w:fldChar w:fldCharType="begin"/>
    </w:r>
    <w:r w:rsidR="00B27344">
      <w:instrText xml:space="preserve"> PAGE   \* MERGEFORMAT </w:instrText>
    </w:r>
    <w:r w:rsidR="00B27344">
      <w:fldChar w:fldCharType="separate"/>
    </w:r>
    <w:r w:rsidR="00FC54F8" w:rsidRPr="00FC54F8">
      <w:rPr>
        <w:rFonts w:asciiTheme="majorHAnsi" w:hAnsiTheme="majorHAnsi"/>
        <w:noProof/>
      </w:rPr>
      <w:t>3</w:t>
    </w:r>
    <w:r w:rsidR="00B27344">
      <w:rPr>
        <w:rFonts w:asciiTheme="majorHAnsi" w:hAnsiTheme="majorHAnsi"/>
        <w:noProof/>
      </w:rPr>
      <w:fldChar w:fldCharType="end"/>
    </w:r>
    <w:r w:rsidR="00B27344">
      <w:t xml:space="preserve"> </w:t>
    </w:r>
  </w:p>
  <w:p w14:paraId="2D38DFDC" w14:textId="77777777" w:rsidR="00B27344" w:rsidRDefault="00B2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7EE0" w14:textId="77777777" w:rsidR="008476D9" w:rsidRDefault="008476D9" w:rsidP="00C142DD">
      <w:pPr>
        <w:spacing w:after="0" w:line="240" w:lineRule="auto"/>
      </w:pPr>
      <w:r>
        <w:separator/>
      </w:r>
    </w:p>
  </w:footnote>
  <w:footnote w:type="continuationSeparator" w:id="0">
    <w:p w14:paraId="7DEC3315" w14:textId="77777777" w:rsidR="008476D9" w:rsidRDefault="008476D9" w:rsidP="00C14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B60578"/>
    <w:lvl w:ilvl="0">
      <w:numFmt w:val="bullet"/>
      <w:lvlText w:val="*"/>
      <w:lvlJc w:val="left"/>
    </w:lvl>
  </w:abstractNum>
  <w:abstractNum w:abstractNumId="1" w15:restartNumberingAfterBreak="0">
    <w:nsid w:val="051F1CA1"/>
    <w:multiLevelType w:val="hybridMultilevel"/>
    <w:tmpl w:val="78AA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C7D82"/>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D74905"/>
    <w:multiLevelType w:val="hybridMultilevel"/>
    <w:tmpl w:val="0A2E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2F7"/>
    <w:multiLevelType w:val="hybridMultilevel"/>
    <w:tmpl w:val="179E7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723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EA2F5D"/>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39701F"/>
    <w:multiLevelType w:val="hybridMultilevel"/>
    <w:tmpl w:val="13445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0563E"/>
    <w:multiLevelType w:val="hybridMultilevel"/>
    <w:tmpl w:val="B9A68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53E9A"/>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3137692"/>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3D20F50"/>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41108A7"/>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274401"/>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9778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7A1B2A"/>
    <w:multiLevelType w:val="hybridMultilevel"/>
    <w:tmpl w:val="981CE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824D39"/>
    <w:multiLevelType w:val="hybridMultilevel"/>
    <w:tmpl w:val="A4C0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E0CF9"/>
    <w:multiLevelType w:val="hybridMultilevel"/>
    <w:tmpl w:val="D19A7F30"/>
    <w:lvl w:ilvl="0" w:tplc="7E482E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EA08CC"/>
    <w:multiLevelType w:val="multilevel"/>
    <w:tmpl w:val="D4CADCEA"/>
    <w:lvl w:ilvl="0">
      <w:start w:val="1"/>
      <w:numFmt w:val="none"/>
      <w:lvlText w:val="9."/>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9.%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0B13E4"/>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E13AA4"/>
    <w:multiLevelType w:val="hybridMultilevel"/>
    <w:tmpl w:val="DB7CB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D51F63"/>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91512A"/>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8D20827"/>
    <w:multiLevelType w:val="hybridMultilevel"/>
    <w:tmpl w:val="0498A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43F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F93579"/>
    <w:multiLevelType w:val="hybridMultilevel"/>
    <w:tmpl w:val="657CC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92CF9"/>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B58355D"/>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C4B2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95B3A"/>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3F52D81"/>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1D0F72"/>
    <w:multiLevelType w:val="hybridMultilevel"/>
    <w:tmpl w:val="D37A98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2926D4"/>
    <w:multiLevelType w:val="multilevel"/>
    <w:tmpl w:val="F5A2CF92"/>
    <w:lvl w:ilvl="0">
      <w:start w:val="5"/>
      <w:numFmt w:val="decimal"/>
      <w:lvlText w:val="%1."/>
      <w:lvlJc w:val="left"/>
      <w:pPr>
        <w:tabs>
          <w:tab w:val="num" w:pos="360"/>
        </w:tabs>
        <w:ind w:left="360" w:hanging="360"/>
      </w:pPr>
      <w:rPr>
        <w:rFonts w:ascii="Times New Roman" w:eastAsia="Times New Roman" w:hAnsi="Times New Roman" w:cs="Times New Roman"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C613080"/>
    <w:multiLevelType w:val="multilevel"/>
    <w:tmpl w:val="2E4ED2A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72740E"/>
    <w:multiLevelType w:val="hybridMultilevel"/>
    <w:tmpl w:val="3EBC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23F98"/>
    <w:multiLevelType w:val="hybridMultilevel"/>
    <w:tmpl w:val="207807D6"/>
    <w:lvl w:ilvl="0" w:tplc="7E482E1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E482E18">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45D14"/>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FAB5CFA"/>
    <w:multiLevelType w:val="hybridMultilevel"/>
    <w:tmpl w:val="4CD61AA8"/>
    <w:lvl w:ilvl="0" w:tplc="99C009B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71DFD"/>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1D60893"/>
    <w:multiLevelType w:val="multilevel"/>
    <w:tmpl w:val="A00A401A"/>
    <w:lvl w:ilvl="0">
      <w:start w:val="3"/>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2133CC9"/>
    <w:multiLevelType w:val="hybridMultilevel"/>
    <w:tmpl w:val="6BA6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47E08"/>
    <w:multiLevelType w:val="hybridMultilevel"/>
    <w:tmpl w:val="9E1E8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1118A"/>
    <w:multiLevelType w:val="multilevel"/>
    <w:tmpl w:val="275E9B2C"/>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7DC3DF8"/>
    <w:multiLevelType w:val="multilevel"/>
    <w:tmpl w:val="11E03C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B36E0D"/>
    <w:multiLevelType w:val="multilevel"/>
    <w:tmpl w:val="4CDAB9A8"/>
    <w:lvl w:ilvl="0">
      <w:start w:val="2"/>
      <w:numFmt w:val="decimal"/>
      <w:lvlText w:val="%1.6"/>
      <w:lvlJc w:val="left"/>
      <w:pPr>
        <w:tabs>
          <w:tab w:val="num" w:pos="360"/>
        </w:tabs>
        <w:ind w:left="360" w:hanging="360"/>
      </w:pPr>
      <w:rPr>
        <w:rFonts w:hint="default"/>
        <w:b/>
      </w:rPr>
    </w:lvl>
    <w:lvl w:ilvl="1">
      <w:start w:val="6"/>
      <w:numFmt w:val="decimal"/>
      <w:lvlText w:val="%1.%2"/>
      <w:lvlJc w:val="left"/>
      <w:pPr>
        <w:tabs>
          <w:tab w:val="num" w:pos="1080"/>
        </w:tabs>
        <w:ind w:left="1080" w:hanging="720"/>
      </w:pPr>
      <w:rPr>
        <w:rFonts w:ascii="Arial" w:hAnsi="Arial" w:cs="Arial" w:hint="default"/>
        <w:b/>
        <w:color w:val="000000"/>
      </w:rPr>
    </w:lvl>
    <w:lvl w:ilvl="2">
      <w:start w:val="1"/>
      <w:numFmt w:val="decimal"/>
      <w:lvlText w:val="%1.%2.%3"/>
      <w:lvlJc w:val="left"/>
      <w:pPr>
        <w:tabs>
          <w:tab w:val="num" w:pos="1440"/>
        </w:tabs>
        <w:ind w:left="144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Arial" w:hAnsi="Arial" w:cs="Arial" w:hint="default"/>
        <w:b/>
      </w:rPr>
    </w:lvl>
    <w:lvl w:ilvl="4">
      <w:start w:val="1"/>
      <w:numFmt w:val="decimal"/>
      <w:lvlText w:val="%1.%2.%3.%4.%5"/>
      <w:lvlJc w:val="left"/>
      <w:pPr>
        <w:tabs>
          <w:tab w:val="num" w:pos="2520"/>
        </w:tabs>
        <w:ind w:left="2520" w:hanging="1080"/>
      </w:pPr>
      <w:rPr>
        <w:rFonts w:ascii="Arial" w:hAnsi="Arial" w:cs="Arial" w:hint="default"/>
        <w:b/>
      </w:rPr>
    </w:lvl>
    <w:lvl w:ilvl="5">
      <w:start w:val="1"/>
      <w:numFmt w:val="decimal"/>
      <w:lvlText w:val="%1.%2.%3.%4.%5.%6"/>
      <w:lvlJc w:val="left"/>
      <w:pPr>
        <w:tabs>
          <w:tab w:val="num" w:pos="2880"/>
        </w:tabs>
        <w:ind w:left="2880" w:hanging="1080"/>
      </w:pPr>
      <w:rPr>
        <w:rFonts w:ascii="Arial" w:hAnsi="Arial" w:cs="Arial" w:hint="default"/>
        <w:b/>
      </w:rPr>
    </w:lvl>
    <w:lvl w:ilvl="6">
      <w:start w:val="1"/>
      <w:numFmt w:val="decimal"/>
      <w:lvlText w:val="%1.%2.%3.%4.%5.%6.%7"/>
      <w:lvlJc w:val="left"/>
      <w:pPr>
        <w:tabs>
          <w:tab w:val="num" w:pos="3600"/>
        </w:tabs>
        <w:ind w:left="3600" w:hanging="1440"/>
      </w:pPr>
      <w:rPr>
        <w:rFonts w:ascii="Arial" w:hAnsi="Arial" w:cs="Arial" w:hint="default"/>
        <w:b/>
      </w:rPr>
    </w:lvl>
    <w:lvl w:ilvl="7">
      <w:start w:val="1"/>
      <w:numFmt w:val="decimal"/>
      <w:lvlText w:val="%1.%2.%3.%4.%5.%6.%7.%8"/>
      <w:lvlJc w:val="left"/>
      <w:pPr>
        <w:tabs>
          <w:tab w:val="num" w:pos="3960"/>
        </w:tabs>
        <w:ind w:left="3960" w:hanging="1440"/>
      </w:pPr>
      <w:rPr>
        <w:rFonts w:ascii="Arial" w:hAnsi="Arial" w:cs="Arial" w:hint="default"/>
        <w:b/>
      </w:rPr>
    </w:lvl>
    <w:lvl w:ilvl="8">
      <w:start w:val="1"/>
      <w:numFmt w:val="decimal"/>
      <w:lvlText w:val="%1.%2.%3.%4.%5.%6.%7.%8.%9"/>
      <w:lvlJc w:val="left"/>
      <w:pPr>
        <w:tabs>
          <w:tab w:val="num" w:pos="4680"/>
        </w:tabs>
        <w:ind w:left="4680" w:hanging="1800"/>
      </w:pPr>
      <w:rPr>
        <w:rFonts w:ascii="Arial" w:hAnsi="Arial" w:cs="Arial" w:hint="default"/>
        <w:b/>
      </w:rPr>
    </w:lvl>
  </w:abstractNum>
  <w:abstractNum w:abstractNumId="45" w15:restartNumberingAfterBreak="0">
    <w:nsid w:val="690C3BD9"/>
    <w:multiLevelType w:val="multilevel"/>
    <w:tmpl w:val="34B6B6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45113DB"/>
    <w:multiLevelType w:val="hybridMultilevel"/>
    <w:tmpl w:val="CE24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B27946"/>
    <w:multiLevelType w:val="hybridMultilevel"/>
    <w:tmpl w:val="34F05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3E4B9C"/>
    <w:multiLevelType w:val="hybridMultilevel"/>
    <w:tmpl w:val="C84800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4"/>
  </w:num>
  <w:num w:numId="3">
    <w:abstractNumId w:val="37"/>
  </w:num>
  <w:num w:numId="4">
    <w:abstractNumId w:val="5"/>
  </w:num>
  <w:num w:numId="5">
    <w:abstractNumId w:val="28"/>
  </w:num>
  <w:num w:numId="6">
    <w:abstractNumId w:val="14"/>
  </w:num>
  <w:num w:numId="7">
    <w:abstractNumId w:val="15"/>
  </w:num>
  <w:num w:numId="8">
    <w:abstractNumId w:val="35"/>
  </w:num>
  <w:num w:numId="9">
    <w:abstractNumId w:val="17"/>
  </w:num>
  <w:num w:numId="10">
    <w:abstractNumId w:val="27"/>
  </w:num>
  <w:num w:numId="11">
    <w:abstractNumId w:val="46"/>
  </w:num>
  <w:num w:numId="12">
    <w:abstractNumId w:val="3"/>
  </w:num>
  <w:num w:numId="13">
    <w:abstractNumId w:val="7"/>
  </w:num>
  <w:num w:numId="14">
    <w:abstractNumId w:val="1"/>
  </w:num>
  <w:num w:numId="15">
    <w:abstractNumId w:val="40"/>
  </w:num>
  <w:num w:numId="16">
    <w:abstractNumId w:val="16"/>
  </w:num>
  <w:num w:numId="17">
    <w:abstractNumId w:val="47"/>
  </w:num>
  <w:num w:numId="18">
    <w:abstractNumId w:val="48"/>
  </w:num>
  <w:num w:numId="19">
    <w:abstractNumId w:val="44"/>
  </w:num>
  <w:num w:numId="20">
    <w:abstractNumId w:val="31"/>
  </w:num>
  <w:num w:numId="21">
    <w:abstractNumId w:val="11"/>
  </w:num>
  <w:num w:numId="22">
    <w:abstractNumId w:val="32"/>
  </w:num>
  <w:num w:numId="23">
    <w:abstractNumId w:val="38"/>
  </w:num>
  <w:num w:numId="24">
    <w:abstractNumId w:val="2"/>
  </w:num>
  <w:num w:numId="25">
    <w:abstractNumId w:val="22"/>
  </w:num>
  <w:num w:numId="26">
    <w:abstractNumId w:val="42"/>
  </w:num>
  <w:num w:numId="27">
    <w:abstractNumId w:val="21"/>
  </w:num>
  <w:num w:numId="28">
    <w:abstractNumId w:val="45"/>
  </w:num>
  <w:num w:numId="29">
    <w:abstractNumId w:val="19"/>
  </w:num>
  <w:num w:numId="30">
    <w:abstractNumId w:val="36"/>
  </w:num>
  <w:num w:numId="31">
    <w:abstractNumId w:val="9"/>
  </w:num>
  <w:num w:numId="32">
    <w:abstractNumId w:val="6"/>
  </w:num>
  <w:num w:numId="33">
    <w:abstractNumId w:val="24"/>
  </w:num>
  <w:num w:numId="34">
    <w:abstractNumId w:val="29"/>
  </w:num>
  <w:num w:numId="35">
    <w:abstractNumId w:val="4"/>
  </w:num>
  <w:num w:numId="36">
    <w:abstractNumId w:val="26"/>
  </w:num>
  <w:num w:numId="37">
    <w:abstractNumId w:val="43"/>
  </w:num>
  <w:num w:numId="38">
    <w:abstractNumId w:val="10"/>
  </w:num>
  <w:num w:numId="39">
    <w:abstractNumId w:val="33"/>
  </w:num>
  <w:num w:numId="40">
    <w:abstractNumId w:val="30"/>
  </w:num>
  <w:num w:numId="41">
    <w:abstractNumId w:val="39"/>
  </w:num>
  <w:num w:numId="42">
    <w:abstractNumId w:val="13"/>
  </w:num>
  <w:num w:numId="43">
    <w:abstractNumId w:val="12"/>
  </w:num>
  <w:num w:numId="44">
    <w:abstractNumId w:val="8"/>
  </w:num>
  <w:num w:numId="45">
    <w:abstractNumId w:val="25"/>
  </w:num>
  <w:num w:numId="46">
    <w:abstractNumId w:val="23"/>
  </w:num>
  <w:num w:numId="47">
    <w:abstractNumId w:val="41"/>
  </w:num>
  <w:num w:numId="4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E3"/>
    <w:rsid w:val="00002909"/>
    <w:rsid w:val="00010739"/>
    <w:rsid w:val="00013B3A"/>
    <w:rsid w:val="00024BD4"/>
    <w:rsid w:val="00025E77"/>
    <w:rsid w:val="0003194D"/>
    <w:rsid w:val="0003349C"/>
    <w:rsid w:val="00043ABF"/>
    <w:rsid w:val="000503FE"/>
    <w:rsid w:val="00052E89"/>
    <w:rsid w:val="00054952"/>
    <w:rsid w:val="0006698F"/>
    <w:rsid w:val="00067F5B"/>
    <w:rsid w:val="00072460"/>
    <w:rsid w:val="000759F0"/>
    <w:rsid w:val="00087450"/>
    <w:rsid w:val="00095979"/>
    <w:rsid w:val="00096285"/>
    <w:rsid w:val="000B4C88"/>
    <w:rsid w:val="000B622B"/>
    <w:rsid w:val="000B6CC4"/>
    <w:rsid w:val="000B6E07"/>
    <w:rsid w:val="000B74B9"/>
    <w:rsid w:val="000C54D3"/>
    <w:rsid w:val="000C58BF"/>
    <w:rsid w:val="000C590F"/>
    <w:rsid w:val="000E2D9D"/>
    <w:rsid w:val="000F5BDA"/>
    <w:rsid w:val="000F6B1C"/>
    <w:rsid w:val="000F6D8C"/>
    <w:rsid w:val="000F7758"/>
    <w:rsid w:val="0010163D"/>
    <w:rsid w:val="001054B0"/>
    <w:rsid w:val="001155AA"/>
    <w:rsid w:val="00120978"/>
    <w:rsid w:val="00122A3D"/>
    <w:rsid w:val="00126B19"/>
    <w:rsid w:val="0013381F"/>
    <w:rsid w:val="001360F7"/>
    <w:rsid w:val="00145D21"/>
    <w:rsid w:val="001512B5"/>
    <w:rsid w:val="00155B21"/>
    <w:rsid w:val="0015797F"/>
    <w:rsid w:val="00160431"/>
    <w:rsid w:val="00162809"/>
    <w:rsid w:val="0016343A"/>
    <w:rsid w:val="00165298"/>
    <w:rsid w:val="00167C4B"/>
    <w:rsid w:val="00182207"/>
    <w:rsid w:val="00185765"/>
    <w:rsid w:val="00191C0D"/>
    <w:rsid w:val="00192261"/>
    <w:rsid w:val="00194601"/>
    <w:rsid w:val="00195761"/>
    <w:rsid w:val="00195A67"/>
    <w:rsid w:val="00195E77"/>
    <w:rsid w:val="001A1AA8"/>
    <w:rsid w:val="001A5055"/>
    <w:rsid w:val="001A63B3"/>
    <w:rsid w:val="001A7A91"/>
    <w:rsid w:val="001B0CE6"/>
    <w:rsid w:val="001C07E5"/>
    <w:rsid w:val="001C1FE3"/>
    <w:rsid w:val="001C4E81"/>
    <w:rsid w:val="001C66E8"/>
    <w:rsid w:val="001C7B38"/>
    <w:rsid w:val="001C7EAD"/>
    <w:rsid w:val="001D1E94"/>
    <w:rsid w:val="001D78C6"/>
    <w:rsid w:val="001E30F7"/>
    <w:rsid w:val="001F26BE"/>
    <w:rsid w:val="001F4E38"/>
    <w:rsid w:val="00202E7B"/>
    <w:rsid w:val="00203CFA"/>
    <w:rsid w:val="00205883"/>
    <w:rsid w:val="00212092"/>
    <w:rsid w:val="002150B3"/>
    <w:rsid w:val="00222BC4"/>
    <w:rsid w:val="00226B2D"/>
    <w:rsid w:val="0023204E"/>
    <w:rsid w:val="0023575E"/>
    <w:rsid w:val="00252A31"/>
    <w:rsid w:val="002721AB"/>
    <w:rsid w:val="002751BD"/>
    <w:rsid w:val="00282A98"/>
    <w:rsid w:val="002869C4"/>
    <w:rsid w:val="0029210F"/>
    <w:rsid w:val="00295353"/>
    <w:rsid w:val="002954D2"/>
    <w:rsid w:val="002A14BE"/>
    <w:rsid w:val="002B3C2B"/>
    <w:rsid w:val="002C15A9"/>
    <w:rsid w:val="002C42E0"/>
    <w:rsid w:val="002D0A52"/>
    <w:rsid w:val="002D0C13"/>
    <w:rsid w:val="002D41F4"/>
    <w:rsid w:val="002D5460"/>
    <w:rsid w:val="002D66E1"/>
    <w:rsid w:val="002E532F"/>
    <w:rsid w:val="002E68FD"/>
    <w:rsid w:val="002F4F8E"/>
    <w:rsid w:val="002F6CCB"/>
    <w:rsid w:val="0030005A"/>
    <w:rsid w:val="00316266"/>
    <w:rsid w:val="00323F4F"/>
    <w:rsid w:val="003243A7"/>
    <w:rsid w:val="00333DD1"/>
    <w:rsid w:val="00334195"/>
    <w:rsid w:val="003401B9"/>
    <w:rsid w:val="0034339B"/>
    <w:rsid w:val="00353156"/>
    <w:rsid w:val="00354F8C"/>
    <w:rsid w:val="00356E3B"/>
    <w:rsid w:val="00360CF1"/>
    <w:rsid w:val="00360D2E"/>
    <w:rsid w:val="003610D8"/>
    <w:rsid w:val="00361411"/>
    <w:rsid w:val="003652E6"/>
    <w:rsid w:val="00365972"/>
    <w:rsid w:val="0038137E"/>
    <w:rsid w:val="00382EC2"/>
    <w:rsid w:val="00383694"/>
    <w:rsid w:val="00385B20"/>
    <w:rsid w:val="0039056B"/>
    <w:rsid w:val="003934E8"/>
    <w:rsid w:val="00395B99"/>
    <w:rsid w:val="00396DA2"/>
    <w:rsid w:val="003A03CD"/>
    <w:rsid w:val="003A11F6"/>
    <w:rsid w:val="003A6500"/>
    <w:rsid w:val="003A6B66"/>
    <w:rsid w:val="003A73B0"/>
    <w:rsid w:val="003A7560"/>
    <w:rsid w:val="003A7DB2"/>
    <w:rsid w:val="003B3114"/>
    <w:rsid w:val="003D0400"/>
    <w:rsid w:val="003D0676"/>
    <w:rsid w:val="003D4158"/>
    <w:rsid w:val="003D52F5"/>
    <w:rsid w:val="003D583D"/>
    <w:rsid w:val="003D6D1E"/>
    <w:rsid w:val="003E3521"/>
    <w:rsid w:val="003E5C7D"/>
    <w:rsid w:val="004038F3"/>
    <w:rsid w:val="004044BC"/>
    <w:rsid w:val="00415EC4"/>
    <w:rsid w:val="00421CBF"/>
    <w:rsid w:val="00427CE2"/>
    <w:rsid w:val="004576AE"/>
    <w:rsid w:val="00457E09"/>
    <w:rsid w:val="00460D52"/>
    <w:rsid w:val="0046575F"/>
    <w:rsid w:val="004729A0"/>
    <w:rsid w:val="0047385E"/>
    <w:rsid w:val="0047483A"/>
    <w:rsid w:val="004807BE"/>
    <w:rsid w:val="004823C5"/>
    <w:rsid w:val="00482C41"/>
    <w:rsid w:val="00486951"/>
    <w:rsid w:val="004904EB"/>
    <w:rsid w:val="00491122"/>
    <w:rsid w:val="004A65FF"/>
    <w:rsid w:val="004A68F0"/>
    <w:rsid w:val="004C381C"/>
    <w:rsid w:val="004D0628"/>
    <w:rsid w:val="004D09D6"/>
    <w:rsid w:val="004D5274"/>
    <w:rsid w:val="004E01D4"/>
    <w:rsid w:val="004E48A2"/>
    <w:rsid w:val="004F0676"/>
    <w:rsid w:val="004F68F1"/>
    <w:rsid w:val="005003C1"/>
    <w:rsid w:val="00504117"/>
    <w:rsid w:val="00507076"/>
    <w:rsid w:val="00513156"/>
    <w:rsid w:val="00514226"/>
    <w:rsid w:val="00523FB7"/>
    <w:rsid w:val="00524387"/>
    <w:rsid w:val="00531194"/>
    <w:rsid w:val="00540AC6"/>
    <w:rsid w:val="00541308"/>
    <w:rsid w:val="0054628A"/>
    <w:rsid w:val="00554F12"/>
    <w:rsid w:val="0056439B"/>
    <w:rsid w:val="00582DFA"/>
    <w:rsid w:val="005A4B0D"/>
    <w:rsid w:val="005A7A50"/>
    <w:rsid w:val="005A7CDF"/>
    <w:rsid w:val="005B1F2A"/>
    <w:rsid w:val="005D0CB0"/>
    <w:rsid w:val="005E4CA7"/>
    <w:rsid w:val="005F3FC7"/>
    <w:rsid w:val="006016BE"/>
    <w:rsid w:val="00601DD5"/>
    <w:rsid w:val="00612E18"/>
    <w:rsid w:val="006136D8"/>
    <w:rsid w:val="00617584"/>
    <w:rsid w:val="0061761C"/>
    <w:rsid w:val="00621165"/>
    <w:rsid w:val="00626CEB"/>
    <w:rsid w:val="00655E48"/>
    <w:rsid w:val="00656896"/>
    <w:rsid w:val="00657B56"/>
    <w:rsid w:val="00661EB2"/>
    <w:rsid w:val="00662BC7"/>
    <w:rsid w:val="0066717D"/>
    <w:rsid w:val="00671E9B"/>
    <w:rsid w:val="0067319A"/>
    <w:rsid w:val="00674EE4"/>
    <w:rsid w:val="00680226"/>
    <w:rsid w:val="006825D1"/>
    <w:rsid w:val="0068531C"/>
    <w:rsid w:val="0069322E"/>
    <w:rsid w:val="0069612D"/>
    <w:rsid w:val="006A3C1D"/>
    <w:rsid w:val="006B2D89"/>
    <w:rsid w:val="006B4638"/>
    <w:rsid w:val="006B4822"/>
    <w:rsid w:val="006B4FA9"/>
    <w:rsid w:val="006C1C3B"/>
    <w:rsid w:val="006C55B0"/>
    <w:rsid w:val="006D4581"/>
    <w:rsid w:val="006D67F2"/>
    <w:rsid w:val="006E11E3"/>
    <w:rsid w:val="006E14DA"/>
    <w:rsid w:val="006F5D5B"/>
    <w:rsid w:val="006F6015"/>
    <w:rsid w:val="00703DF9"/>
    <w:rsid w:val="00706108"/>
    <w:rsid w:val="00720C16"/>
    <w:rsid w:val="007210B6"/>
    <w:rsid w:val="007256FE"/>
    <w:rsid w:val="00726AEA"/>
    <w:rsid w:val="00727B99"/>
    <w:rsid w:val="00727CEE"/>
    <w:rsid w:val="007358A2"/>
    <w:rsid w:val="007404EA"/>
    <w:rsid w:val="0074354B"/>
    <w:rsid w:val="00746F60"/>
    <w:rsid w:val="007508AC"/>
    <w:rsid w:val="00750DDD"/>
    <w:rsid w:val="007556F6"/>
    <w:rsid w:val="00755F52"/>
    <w:rsid w:val="0076336D"/>
    <w:rsid w:val="00771BD6"/>
    <w:rsid w:val="00775DBC"/>
    <w:rsid w:val="00786D3E"/>
    <w:rsid w:val="00790F2F"/>
    <w:rsid w:val="00797733"/>
    <w:rsid w:val="007A13AA"/>
    <w:rsid w:val="007A6185"/>
    <w:rsid w:val="007B40E1"/>
    <w:rsid w:val="007B63E5"/>
    <w:rsid w:val="007B7878"/>
    <w:rsid w:val="007D5316"/>
    <w:rsid w:val="007E1715"/>
    <w:rsid w:val="007E1D23"/>
    <w:rsid w:val="007E36A7"/>
    <w:rsid w:val="007E6486"/>
    <w:rsid w:val="007F7B06"/>
    <w:rsid w:val="008003D9"/>
    <w:rsid w:val="00800BA0"/>
    <w:rsid w:val="00807570"/>
    <w:rsid w:val="00814A33"/>
    <w:rsid w:val="00831F4B"/>
    <w:rsid w:val="008327B4"/>
    <w:rsid w:val="008345E3"/>
    <w:rsid w:val="008448E8"/>
    <w:rsid w:val="0084556D"/>
    <w:rsid w:val="00845B9E"/>
    <w:rsid w:val="0084763A"/>
    <w:rsid w:val="008476D9"/>
    <w:rsid w:val="0086094A"/>
    <w:rsid w:val="00865207"/>
    <w:rsid w:val="00895196"/>
    <w:rsid w:val="00896B3E"/>
    <w:rsid w:val="008A65A2"/>
    <w:rsid w:val="008A7627"/>
    <w:rsid w:val="008A7E74"/>
    <w:rsid w:val="008B7393"/>
    <w:rsid w:val="008C311E"/>
    <w:rsid w:val="008C65AF"/>
    <w:rsid w:val="008D07CF"/>
    <w:rsid w:val="008D4A98"/>
    <w:rsid w:val="008F5C71"/>
    <w:rsid w:val="008F60C3"/>
    <w:rsid w:val="008F77A6"/>
    <w:rsid w:val="00905541"/>
    <w:rsid w:val="0091372C"/>
    <w:rsid w:val="00922B7D"/>
    <w:rsid w:val="00922C1A"/>
    <w:rsid w:val="00945E72"/>
    <w:rsid w:val="00946FF5"/>
    <w:rsid w:val="00952DB2"/>
    <w:rsid w:val="00955C51"/>
    <w:rsid w:val="0096334E"/>
    <w:rsid w:val="00970541"/>
    <w:rsid w:val="009750C8"/>
    <w:rsid w:val="00981A54"/>
    <w:rsid w:val="00982104"/>
    <w:rsid w:val="00983CA4"/>
    <w:rsid w:val="00993DAF"/>
    <w:rsid w:val="00995A08"/>
    <w:rsid w:val="009A26F6"/>
    <w:rsid w:val="009A287A"/>
    <w:rsid w:val="009B2977"/>
    <w:rsid w:val="009B7CBE"/>
    <w:rsid w:val="009C328B"/>
    <w:rsid w:val="009C515A"/>
    <w:rsid w:val="009D5A22"/>
    <w:rsid w:val="009E384F"/>
    <w:rsid w:val="009F5D17"/>
    <w:rsid w:val="00A02C88"/>
    <w:rsid w:val="00A04317"/>
    <w:rsid w:val="00A061D7"/>
    <w:rsid w:val="00A31779"/>
    <w:rsid w:val="00A34F90"/>
    <w:rsid w:val="00A43597"/>
    <w:rsid w:val="00A457F3"/>
    <w:rsid w:val="00A46964"/>
    <w:rsid w:val="00A504C0"/>
    <w:rsid w:val="00A5221B"/>
    <w:rsid w:val="00A526A5"/>
    <w:rsid w:val="00A52A44"/>
    <w:rsid w:val="00A645DC"/>
    <w:rsid w:val="00A6655C"/>
    <w:rsid w:val="00A67D30"/>
    <w:rsid w:val="00A75476"/>
    <w:rsid w:val="00A8266D"/>
    <w:rsid w:val="00A83655"/>
    <w:rsid w:val="00A900A8"/>
    <w:rsid w:val="00A91503"/>
    <w:rsid w:val="00A93874"/>
    <w:rsid w:val="00A93A51"/>
    <w:rsid w:val="00A949A1"/>
    <w:rsid w:val="00A97160"/>
    <w:rsid w:val="00AA01F3"/>
    <w:rsid w:val="00AA7B4B"/>
    <w:rsid w:val="00AC3498"/>
    <w:rsid w:val="00AD4F4E"/>
    <w:rsid w:val="00AE0D8C"/>
    <w:rsid w:val="00AE0FA1"/>
    <w:rsid w:val="00AE24BD"/>
    <w:rsid w:val="00AE25B7"/>
    <w:rsid w:val="00AE2798"/>
    <w:rsid w:val="00AE2E89"/>
    <w:rsid w:val="00AE4E56"/>
    <w:rsid w:val="00AF0078"/>
    <w:rsid w:val="00AF23DE"/>
    <w:rsid w:val="00AF3A0B"/>
    <w:rsid w:val="00B12D1A"/>
    <w:rsid w:val="00B23F3E"/>
    <w:rsid w:val="00B247C7"/>
    <w:rsid w:val="00B25A9A"/>
    <w:rsid w:val="00B26DC5"/>
    <w:rsid w:val="00B27344"/>
    <w:rsid w:val="00B32D53"/>
    <w:rsid w:val="00B3324B"/>
    <w:rsid w:val="00B371F5"/>
    <w:rsid w:val="00B37AEE"/>
    <w:rsid w:val="00B40EFF"/>
    <w:rsid w:val="00B43D28"/>
    <w:rsid w:val="00B4599E"/>
    <w:rsid w:val="00B507D2"/>
    <w:rsid w:val="00B55192"/>
    <w:rsid w:val="00B64E38"/>
    <w:rsid w:val="00B654DC"/>
    <w:rsid w:val="00B70409"/>
    <w:rsid w:val="00B75556"/>
    <w:rsid w:val="00B76190"/>
    <w:rsid w:val="00B84E18"/>
    <w:rsid w:val="00B85A82"/>
    <w:rsid w:val="00B87CB7"/>
    <w:rsid w:val="00B97816"/>
    <w:rsid w:val="00BA6A05"/>
    <w:rsid w:val="00BA7B89"/>
    <w:rsid w:val="00BB23B0"/>
    <w:rsid w:val="00BB2489"/>
    <w:rsid w:val="00BB61EE"/>
    <w:rsid w:val="00BB731F"/>
    <w:rsid w:val="00BC1FAB"/>
    <w:rsid w:val="00BC28B2"/>
    <w:rsid w:val="00BC6E46"/>
    <w:rsid w:val="00BD36E9"/>
    <w:rsid w:val="00BD693B"/>
    <w:rsid w:val="00BE2A08"/>
    <w:rsid w:val="00BE4C2A"/>
    <w:rsid w:val="00BE6795"/>
    <w:rsid w:val="00BF3847"/>
    <w:rsid w:val="00BF71A2"/>
    <w:rsid w:val="00C13912"/>
    <w:rsid w:val="00C142DD"/>
    <w:rsid w:val="00C16A16"/>
    <w:rsid w:val="00C17059"/>
    <w:rsid w:val="00C220EB"/>
    <w:rsid w:val="00C2284D"/>
    <w:rsid w:val="00C32B53"/>
    <w:rsid w:val="00C43DAA"/>
    <w:rsid w:val="00C45891"/>
    <w:rsid w:val="00C72C7B"/>
    <w:rsid w:val="00C769C8"/>
    <w:rsid w:val="00C802AD"/>
    <w:rsid w:val="00C84338"/>
    <w:rsid w:val="00C85F16"/>
    <w:rsid w:val="00C874E2"/>
    <w:rsid w:val="00CA2D27"/>
    <w:rsid w:val="00CB56F5"/>
    <w:rsid w:val="00CB67EA"/>
    <w:rsid w:val="00CC4E81"/>
    <w:rsid w:val="00CD282F"/>
    <w:rsid w:val="00CD2BD2"/>
    <w:rsid w:val="00CD36BC"/>
    <w:rsid w:val="00CD7614"/>
    <w:rsid w:val="00CF281A"/>
    <w:rsid w:val="00D01108"/>
    <w:rsid w:val="00D021B5"/>
    <w:rsid w:val="00D0363A"/>
    <w:rsid w:val="00D22BCC"/>
    <w:rsid w:val="00D2664F"/>
    <w:rsid w:val="00D302B0"/>
    <w:rsid w:val="00D30D6D"/>
    <w:rsid w:val="00D42588"/>
    <w:rsid w:val="00D474E6"/>
    <w:rsid w:val="00D503EF"/>
    <w:rsid w:val="00D52CE1"/>
    <w:rsid w:val="00D52E58"/>
    <w:rsid w:val="00D54349"/>
    <w:rsid w:val="00D6305D"/>
    <w:rsid w:val="00D67A41"/>
    <w:rsid w:val="00D67E62"/>
    <w:rsid w:val="00D703FE"/>
    <w:rsid w:val="00D7515D"/>
    <w:rsid w:val="00D753E6"/>
    <w:rsid w:val="00D85965"/>
    <w:rsid w:val="00D93492"/>
    <w:rsid w:val="00D9353F"/>
    <w:rsid w:val="00D97109"/>
    <w:rsid w:val="00DA604B"/>
    <w:rsid w:val="00DA798E"/>
    <w:rsid w:val="00DB52DA"/>
    <w:rsid w:val="00DB735D"/>
    <w:rsid w:val="00DC0B43"/>
    <w:rsid w:val="00DC1E68"/>
    <w:rsid w:val="00DC53AF"/>
    <w:rsid w:val="00DD03F7"/>
    <w:rsid w:val="00DD0907"/>
    <w:rsid w:val="00DD23FB"/>
    <w:rsid w:val="00DE260B"/>
    <w:rsid w:val="00DF3A33"/>
    <w:rsid w:val="00DF51B8"/>
    <w:rsid w:val="00E00105"/>
    <w:rsid w:val="00E00142"/>
    <w:rsid w:val="00E0289D"/>
    <w:rsid w:val="00E04C5A"/>
    <w:rsid w:val="00E10835"/>
    <w:rsid w:val="00E12F20"/>
    <w:rsid w:val="00E1311F"/>
    <w:rsid w:val="00E1318D"/>
    <w:rsid w:val="00E14A5A"/>
    <w:rsid w:val="00E1752E"/>
    <w:rsid w:val="00E20079"/>
    <w:rsid w:val="00E31560"/>
    <w:rsid w:val="00E32E2E"/>
    <w:rsid w:val="00E35327"/>
    <w:rsid w:val="00E3590E"/>
    <w:rsid w:val="00E4196E"/>
    <w:rsid w:val="00E42C82"/>
    <w:rsid w:val="00E517C0"/>
    <w:rsid w:val="00E54B73"/>
    <w:rsid w:val="00E54E09"/>
    <w:rsid w:val="00E56D89"/>
    <w:rsid w:val="00E60068"/>
    <w:rsid w:val="00E67DA3"/>
    <w:rsid w:val="00E715E0"/>
    <w:rsid w:val="00E80AE9"/>
    <w:rsid w:val="00EA7A32"/>
    <w:rsid w:val="00EC30C1"/>
    <w:rsid w:val="00EC4EEB"/>
    <w:rsid w:val="00EC62F8"/>
    <w:rsid w:val="00EC7E88"/>
    <w:rsid w:val="00F020CD"/>
    <w:rsid w:val="00F05469"/>
    <w:rsid w:val="00F10391"/>
    <w:rsid w:val="00F14D5F"/>
    <w:rsid w:val="00F26F6B"/>
    <w:rsid w:val="00F332DB"/>
    <w:rsid w:val="00F34081"/>
    <w:rsid w:val="00F50C38"/>
    <w:rsid w:val="00F569D2"/>
    <w:rsid w:val="00F7217F"/>
    <w:rsid w:val="00F81675"/>
    <w:rsid w:val="00F86658"/>
    <w:rsid w:val="00F973C8"/>
    <w:rsid w:val="00FA15F4"/>
    <w:rsid w:val="00FA17AD"/>
    <w:rsid w:val="00FB30F1"/>
    <w:rsid w:val="00FC0D1D"/>
    <w:rsid w:val="00FC3B31"/>
    <w:rsid w:val="00FC54F8"/>
    <w:rsid w:val="00FC5D37"/>
    <w:rsid w:val="00FD63C5"/>
    <w:rsid w:val="00FE5431"/>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769A"/>
  <w15:docId w15:val="{5BC49B7A-98AD-4E64-BA86-A90528B2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1FE3"/>
    <w:pPr>
      <w:keepNext/>
      <w:spacing w:before="240" w:after="60" w:line="240" w:lineRule="auto"/>
      <w:outlineLvl w:val="0"/>
    </w:pPr>
    <w:rPr>
      <w:rFonts w:ascii="Arial" w:eastAsia="Times New Roman" w:hAnsi="Arial" w:cs="Arial"/>
      <w:b/>
      <w:bCs/>
      <w:kern w:val="32"/>
      <w:sz w:val="32"/>
      <w:szCs w:val="32"/>
      <w:lang w:val="en-CA"/>
    </w:rPr>
  </w:style>
  <w:style w:type="paragraph" w:styleId="Heading2">
    <w:name w:val="heading 2"/>
    <w:basedOn w:val="Normal"/>
    <w:next w:val="Normal"/>
    <w:link w:val="Heading2Char"/>
    <w:unhideWhenUsed/>
    <w:qFormat/>
    <w:rsid w:val="001C1FE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qFormat/>
    <w:rsid w:val="00F973C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C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E3"/>
    <w:rPr>
      <w:rFonts w:ascii="Tahoma" w:hAnsi="Tahoma" w:cs="Tahoma"/>
      <w:sz w:val="16"/>
      <w:szCs w:val="16"/>
    </w:rPr>
  </w:style>
  <w:style w:type="table" w:styleId="TableGrid">
    <w:name w:val="Table Grid"/>
    <w:basedOn w:val="TableNormal"/>
    <w:rsid w:val="001C1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C1FE3"/>
    <w:rPr>
      <w:rFonts w:ascii="Arial" w:eastAsia="Times New Roman" w:hAnsi="Arial" w:cs="Arial"/>
      <w:b/>
      <w:bCs/>
      <w:kern w:val="32"/>
      <w:sz w:val="32"/>
      <w:szCs w:val="32"/>
      <w:lang w:val="en-CA"/>
    </w:rPr>
  </w:style>
  <w:style w:type="character" w:customStyle="1" w:styleId="Heading2Char">
    <w:name w:val="Heading 2 Char"/>
    <w:basedOn w:val="DefaultParagraphFont"/>
    <w:link w:val="Heading2"/>
    <w:rsid w:val="001C1FE3"/>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1C1FE3"/>
    <w:pPr>
      <w:spacing w:after="0" w:line="240" w:lineRule="auto"/>
      <w:ind w:left="720"/>
      <w:contextualSpacing/>
    </w:pPr>
    <w:rPr>
      <w:rFonts w:ascii="Times New Roman" w:eastAsia="Times New Roman" w:hAnsi="Times New Roman" w:cs="Times New Roman"/>
      <w:sz w:val="24"/>
      <w:szCs w:val="24"/>
      <w:lang w:val="en-CA"/>
    </w:rPr>
  </w:style>
  <w:style w:type="character" w:styleId="Strong">
    <w:name w:val="Strong"/>
    <w:basedOn w:val="DefaultParagraphFont"/>
    <w:qFormat/>
    <w:rsid w:val="001C1FE3"/>
    <w:rPr>
      <w:b/>
      <w:bCs/>
    </w:rPr>
  </w:style>
  <w:style w:type="paragraph" w:styleId="NormalWeb">
    <w:name w:val="Normal (Web)"/>
    <w:basedOn w:val="Normal"/>
    <w:unhideWhenUsed/>
    <w:rsid w:val="001C1FE3"/>
    <w:pPr>
      <w:spacing w:before="100" w:beforeAutospacing="1" w:after="100" w:afterAutospacing="1" w:line="240" w:lineRule="auto"/>
    </w:pPr>
    <w:rPr>
      <w:rFonts w:ascii="Verdana" w:eastAsia="Times New Roman" w:hAnsi="Verdana" w:cs="Times New Roman"/>
      <w:sz w:val="24"/>
      <w:szCs w:val="24"/>
    </w:rPr>
  </w:style>
  <w:style w:type="paragraph" w:styleId="Header">
    <w:name w:val="header"/>
    <w:basedOn w:val="Normal"/>
    <w:link w:val="HeaderChar"/>
    <w:unhideWhenUsed/>
    <w:rsid w:val="00C1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DD"/>
  </w:style>
  <w:style w:type="paragraph" w:styleId="Footer">
    <w:name w:val="footer"/>
    <w:basedOn w:val="Normal"/>
    <w:link w:val="FooterChar"/>
    <w:uiPriority w:val="99"/>
    <w:unhideWhenUsed/>
    <w:rsid w:val="00C1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DD"/>
  </w:style>
  <w:style w:type="character" w:customStyle="1" w:styleId="Heading3Char">
    <w:name w:val="Heading 3 Char"/>
    <w:basedOn w:val="DefaultParagraphFont"/>
    <w:link w:val="Heading3"/>
    <w:rsid w:val="00F973C8"/>
    <w:rPr>
      <w:rFonts w:ascii="Arial" w:eastAsia="Times New Roman" w:hAnsi="Arial" w:cs="Arial"/>
      <w:b/>
      <w:bCs/>
      <w:sz w:val="26"/>
      <w:szCs w:val="26"/>
    </w:rPr>
  </w:style>
  <w:style w:type="character" w:styleId="Hyperlink">
    <w:name w:val="Hyperlink"/>
    <w:basedOn w:val="DefaultParagraphFont"/>
    <w:rsid w:val="00F973C8"/>
    <w:rPr>
      <w:color w:val="0000FF"/>
      <w:u w:val="single"/>
    </w:rPr>
  </w:style>
  <w:style w:type="character" w:styleId="FollowedHyperlink">
    <w:name w:val="FollowedHyperlink"/>
    <w:basedOn w:val="DefaultParagraphFont"/>
    <w:rsid w:val="00F973C8"/>
    <w:rPr>
      <w:color w:val="800080"/>
      <w:u w:val="single"/>
    </w:rPr>
  </w:style>
  <w:style w:type="paragraph" w:styleId="TOC1">
    <w:name w:val="toc 1"/>
    <w:basedOn w:val="Normal"/>
    <w:next w:val="Normal"/>
    <w:autoRedefine/>
    <w:semiHidden/>
    <w:rsid w:val="00F973C8"/>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973C8"/>
  </w:style>
  <w:style w:type="paragraph" w:styleId="TOC2">
    <w:name w:val="toc 2"/>
    <w:basedOn w:val="Normal"/>
    <w:next w:val="Normal"/>
    <w:autoRedefine/>
    <w:semiHidden/>
    <w:rsid w:val="00F973C8"/>
    <w:pPr>
      <w:tabs>
        <w:tab w:val="left" w:pos="720"/>
        <w:tab w:val="right" w:leader="dot" w:pos="863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F973C8"/>
    <w:rPr>
      <w:sz w:val="16"/>
      <w:szCs w:val="16"/>
    </w:rPr>
  </w:style>
  <w:style w:type="paragraph" w:styleId="CommentText">
    <w:name w:val="annotation text"/>
    <w:basedOn w:val="Normal"/>
    <w:link w:val="CommentTextChar"/>
    <w:semiHidden/>
    <w:rsid w:val="00F973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97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973C8"/>
    <w:rPr>
      <w:b/>
      <w:bCs/>
    </w:rPr>
  </w:style>
  <w:style w:type="character" w:customStyle="1" w:styleId="CommentSubjectChar">
    <w:name w:val="Comment Subject Char"/>
    <w:basedOn w:val="CommentTextChar"/>
    <w:link w:val="CommentSubject"/>
    <w:semiHidden/>
    <w:rsid w:val="00F973C8"/>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F973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973C8"/>
    <w:rPr>
      <w:rFonts w:ascii="Times New Roman" w:eastAsia="Times New Roman" w:hAnsi="Times New Roman" w:cs="Times New Roman"/>
      <w:sz w:val="20"/>
      <w:szCs w:val="20"/>
    </w:rPr>
  </w:style>
  <w:style w:type="character" w:styleId="FootnoteReference">
    <w:name w:val="footnote reference"/>
    <w:basedOn w:val="DefaultParagraphFont"/>
    <w:semiHidden/>
    <w:rsid w:val="00F973C8"/>
    <w:rPr>
      <w:vertAlign w:val="superscript"/>
    </w:rPr>
  </w:style>
  <w:style w:type="paragraph" w:customStyle="1" w:styleId="subhead">
    <w:name w:val="subhead"/>
    <w:basedOn w:val="Normal"/>
    <w:rsid w:val="00F973C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rsid w:val="00F973C8"/>
  </w:style>
  <w:style w:type="paragraph" w:customStyle="1" w:styleId="Level1">
    <w:name w:val="Level 1"/>
    <w:rsid w:val="003E5C7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3Char1">
    <w:name w:val="Heading 3 Char1"/>
    <w:aliases w:val="Heading 3 Char Char"/>
    <w:basedOn w:val="DefaultParagraphFont"/>
    <w:rsid w:val="003E5C7D"/>
    <w:rPr>
      <w:rFonts w:ascii="Arial" w:hAnsi="Arial" w:cs="Arial"/>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4" ma:contentTypeDescription="Create a new document." ma:contentTypeScope="" ma:versionID="ad54f079cb1a54d2f2f84fb0357e6f3f">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05007bef4f801d4d99f01c304daaa849"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4184-EBED-4644-82AC-55D790D0BC94}">
  <ds:schemaRefs>
    <ds:schemaRef ds:uri="http://purl.org/dc/dcmitype/"/>
    <ds:schemaRef ds:uri="http://schemas.microsoft.com/office/2006/documentManagement/types"/>
    <ds:schemaRef ds:uri="3a707f03-e06c-4c61-a929-6f249483c146"/>
    <ds:schemaRef ds:uri="http://schemas.microsoft.com/office/infopath/2007/PartnerControls"/>
    <ds:schemaRef ds:uri="http://purl.org/dc/elements/1.1/"/>
    <ds:schemaRef ds:uri="http://schemas.openxmlformats.org/package/2006/metadata/core-properties"/>
    <ds:schemaRef ds:uri="http://purl.org/dc/terms/"/>
    <ds:schemaRef ds:uri="4830ea6b-39db-40e8-94a4-4d7183afcea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71DB4F-06B2-4481-A788-3F181003EC20}">
  <ds:schemaRefs>
    <ds:schemaRef ds:uri="http://schemas.microsoft.com/sharepoint/v3/contenttype/forms"/>
  </ds:schemaRefs>
</ds:datastoreItem>
</file>

<file path=customXml/itemProps3.xml><?xml version="1.0" encoding="utf-8"?>
<ds:datastoreItem xmlns:ds="http://schemas.openxmlformats.org/officeDocument/2006/customXml" ds:itemID="{B0E74206-B9EA-4328-8674-ADBBBCB7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B4679-2FA2-483A-82E7-4841B6DA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Veronica Bacher</cp:lastModifiedBy>
  <cp:revision>3</cp:revision>
  <dcterms:created xsi:type="dcterms:W3CDTF">2022-03-30T11:23:00Z</dcterms:created>
  <dcterms:modified xsi:type="dcterms:W3CDTF">2022-03-30T11:54:00Z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