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A385C" w14:textId="77777777" w:rsidR="00762B1F" w:rsidRPr="00762B1F" w:rsidRDefault="00762B1F" w:rsidP="00762B1F">
      <w:pPr>
        <w:spacing w:after="0" w:line="240" w:lineRule="auto"/>
        <w:jc w:val="center"/>
        <w:rPr>
          <w:rFonts w:ascii="Garamond" w:eastAsia="Times New Roman" w:hAnsi="Garamond" w:cs="Times New Roman"/>
          <w:b/>
          <w:sz w:val="32"/>
          <w:szCs w:val="32"/>
          <w:lang w:val="en"/>
        </w:rPr>
      </w:pPr>
      <w:bookmarkStart w:id="0" w:name="_Hlk57037986"/>
      <w:r w:rsidRPr="00762B1F">
        <w:rPr>
          <w:rFonts w:ascii="Garamond" w:eastAsia="Times New Roman" w:hAnsi="Garamond" w:cs="Times New Roman"/>
          <w:b/>
          <w:sz w:val="32"/>
          <w:szCs w:val="32"/>
          <w:lang w:val="en"/>
        </w:rPr>
        <w:t>Mount Saint Vincent University</w:t>
      </w:r>
    </w:p>
    <w:p w14:paraId="2F40E9F4" w14:textId="77777777" w:rsidR="001B3CE4" w:rsidRPr="00762B1F" w:rsidRDefault="001B3CE4" w:rsidP="00762B1F">
      <w:pPr>
        <w:spacing w:after="0" w:line="240" w:lineRule="auto"/>
        <w:jc w:val="center"/>
        <w:rPr>
          <w:rFonts w:ascii="Garamond" w:eastAsia="Times New Roman" w:hAnsi="Garamond" w:cs="Times New Roman"/>
          <w:sz w:val="32"/>
          <w:szCs w:val="32"/>
          <w:lang w:val="en"/>
        </w:rPr>
      </w:pPr>
      <w:r w:rsidRPr="00762B1F">
        <w:rPr>
          <w:rFonts w:ascii="Garamond" w:eastAsia="Times New Roman" w:hAnsi="Garamond" w:cs="Times New Roman"/>
          <w:b/>
          <w:sz w:val="32"/>
          <w:szCs w:val="32"/>
          <w:lang w:val="en"/>
        </w:rPr>
        <w:t xml:space="preserve">Satisfactory Academic Progress </w:t>
      </w:r>
      <w:r w:rsidR="00762B1F" w:rsidRPr="00762B1F">
        <w:rPr>
          <w:rFonts w:ascii="Garamond" w:eastAsia="Times New Roman" w:hAnsi="Garamond" w:cs="Times New Roman"/>
          <w:b/>
          <w:sz w:val="32"/>
          <w:szCs w:val="32"/>
          <w:lang w:val="en"/>
        </w:rPr>
        <w:t>Policy for US Department of Education Title IV</w:t>
      </w:r>
      <w:r w:rsidR="00762B1F">
        <w:rPr>
          <w:rFonts w:ascii="Garamond" w:eastAsia="Times New Roman" w:hAnsi="Garamond" w:cs="Times New Roman"/>
          <w:b/>
          <w:sz w:val="32"/>
          <w:szCs w:val="32"/>
          <w:lang w:val="en"/>
        </w:rPr>
        <w:t xml:space="preserve"> recipient</w:t>
      </w:r>
      <w:r w:rsidR="00BB2E7E">
        <w:rPr>
          <w:rFonts w:ascii="Garamond" w:eastAsia="Times New Roman" w:hAnsi="Garamond" w:cs="Times New Roman"/>
          <w:b/>
          <w:sz w:val="32"/>
          <w:szCs w:val="32"/>
          <w:lang w:val="en"/>
        </w:rPr>
        <w:t>s</w:t>
      </w:r>
    </w:p>
    <w:bookmarkEnd w:id="0"/>
    <w:p w14:paraId="685C08E2" w14:textId="77777777" w:rsidR="00B148D8" w:rsidRPr="00300B17" w:rsidRDefault="00B148D8" w:rsidP="00304E17">
      <w:pPr>
        <w:spacing w:after="0" w:line="240" w:lineRule="auto"/>
        <w:rPr>
          <w:rFonts w:ascii="Garamond" w:eastAsia="Times New Roman" w:hAnsi="Garamond" w:cs="Times New Roman"/>
          <w:sz w:val="24"/>
          <w:szCs w:val="24"/>
          <w:lang w:val="en"/>
        </w:rPr>
      </w:pPr>
    </w:p>
    <w:p w14:paraId="2DCDBEBD" w14:textId="77777777" w:rsidR="001D29B0" w:rsidRPr="00300B17" w:rsidRDefault="001D29B0" w:rsidP="001D29B0">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US government regulations require all student receiving US Direct Loans under Title IV of the US Higher Education Act to maintain certain academic standards in order to main</w:t>
      </w:r>
      <w:r w:rsidR="00BB2E7E">
        <w:rPr>
          <w:rFonts w:ascii="Garamond" w:eastAsia="Times New Roman" w:hAnsi="Garamond" w:cs="Times New Roman"/>
          <w:sz w:val="24"/>
          <w:szCs w:val="24"/>
          <w:lang w:val="en"/>
        </w:rPr>
        <w:t>tain</w:t>
      </w:r>
      <w:r w:rsidRPr="00300B17">
        <w:rPr>
          <w:rFonts w:ascii="Garamond" w:eastAsia="Times New Roman" w:hAnsi="Garamond" w:cs="Times New Roman"/>
          <w:sz w:val="24"/>
          <w:szCs w:val="24"/>
          <w:lang w:val="en"/>
        </w:rPr>
        <w:t xml:space="preserve"> eligib</w:t>
      </w:r>
      <w:r w:rsidR="00BB2E7E">
        <w:rPr>
          <w:rFonts w:ascii="Garamond" w:eastAsia="Times New Roman" w:hAnsi="Garamond" w:cs="Times New Roman"/>
          <w:sz w:val="24"/>
          <w:szCs w:val="24"/>
          <w:lang w:val="en"/>
        </w:rPr>
        <w:t>i</w:t>
      </w:r>
      <w:r w:rsidRPr="00300B17">
        <w:rPr>
          <w:rFonts w:ascii="Garamond" w:eastAsia="Times New Roman" w:hAnsi="Garamond" w:cs="Times New Roman"/>
          <w:sz w:val="24"/>
          <w:szCs w:val="24"/>
          <w:lang w:val="en"/>
        </w:rPr>
        <w:t>l</w:t>
      </w:r>
      <w:r w:rsidR="00BB2E7E">
        <w:rPr>
          <w:rFonts w:ascii="Garamond" w:eastAsia="Times New Roman" w:hAnsi="Garamond" w:cs="Times New Roman"/>
          <w:sz w:val="24"/>
          <w:szCs w:val="24"/>
          <w:lang w:val="en"/>
        </w:rPr>
        <w:t>ity</w:t>
      </w:r>
      <w:r w:rsidRPr="00300B17">
        <w:rPr>
          <w:rFonts w:ascii="Garamond" w:eastAsia="Times New Roman" w:hAnsi="Garamond" w:cs="Times New Roman"/>
          <w:sz w:val="24"/>
          <w:szCs w:val="24"/>
          <w:lang w:val="en"/>
        </w:rPr>
        <w:t xml:space="preserve"> for all types of US Direct Loans. The following requirements for achieving Satisfactory Academic Progress</w:t>
      </w:r>
      <w:r w:rsidR="00BB2E7E">
        <w:rPr>
          <w:rFonts w:ascii="Garamond" w:eastAsia="Times New Roman" w:hAnsi="Garamond" w:cs="Times New Roman"/>
          <w:sz w:val="24"/>
          <w:szCs w:val="24"/>
          <w:lang w:val="en"/>
        </w:rPr>
        <w:t xml:space="preserve"> (SAP) </w:t>
      </w:r>
      <w:r w:rsidRPr="00300B17">
        <w:rPr>
          <w:rFonts w:ascii="Garamond" w:eastAsia="Times New Roman" w:hAnsi="Garamond" w:cs="Times New Roman"/>
          <w:sz w:val="24"/>
          <w:szCs w:val="24"/>
          <w:lang w:val="en"/>
        </w:rPr>
        <w:t>apply to students receiving any of the following Direct Loans (Subsidized and Unsubsidized), Direct Parent PLUS and Grad PLUS.</w:t>
      </w:r>
    </w:p>
    <w:p w14:paraId="491B1D12" w14:textId="77777777" w:rsidR="001D29B0" w:rsidRPr="00520F97" w:rsidRDefault="001D29B0" w:rsidP="001D29B0">
      <w:pPr>
        <w:spacing w:after="0" w:line="240" w:lineRule="auto"/>
        <w:rPr>
          <w:rFonts w:ascii="Garamond" w:eastAsia="Times New Roman" w:hAnsi="Garamond" w:cs="Times New Roman"/>
          <w:sz w:val="24"/>
          <w:szCs w:val="24"/>
          <w:lang w:val="en"/>
        </w:rPr>
      </w:pPr>
    </w:p>
    <w:p w14:paraId="30370F29" w14:textId="0B8551B8" w:rsidR="00E349C9" w:rsidRPr="003F6D88" w:rsidRDefault="001D29B0" w:rsidP="00304E17">
      <w:pPr>
        <w:spacing w:after="0" w:line="240" w:lineRule="auto"/>
        <w:rPr>
          <w:rFonts w:ascii="Garamond" w:eastAsia="Times New Roman" w:hAnsi="Garamond" w:cs="Times New Roman"/>
          <w:strike/>
          <w:sz w:val="24"/>
          <w:szCs w:val="24"/>
          <w:lang w:val="en"/>
        </w:rPr>
      </w:pPr>
      <w:r w:rsidRPr="00520F97">
        <w:rPr>
          <w:rFonts w:ascii="Garamond" w:eastAsia="Times New Roman" w:hAnsi="Garamond" w:cs="Times New Roman"/>
          <w:sz w:val="24"/>
          <w:szCs w:val="24"/>
          <w:lang w:val="en"/>
        </w:rPr>
        <w:t xml:space="preserve">In addition to </w:t>
      </w:r>
      <w:r w:rsidR="00BB2E7E" w:rsidRPr="00520F97">
        <w:rPr>
          <w:rFonts w:ascii="Garamond" w:eastAsia="Times New Roman" w:hAnsi="Garamond" w:cs="Times New Roman"/>
          <w:sz w:val="24"/>
          <w:szCs w:val="24"/>
          <w:lang w:val="en"/>
        </w:rPr>
        <w:t xml:space="preserve">achieving </w:t>
      </w:r>
      <w:r w:rsidRPr="00520F97">
        <w:rPr>
          <w:rFonts w:ascii="Garamond" w:eastAsia="Times New Roman" w:hAnsi="Garamond" w:cs="Times New Roman"/>
          <w:sz w:val="24"/>
          <w:szCs w:val="24"/>
          <w:lang w:val="en"/>
        </w:rPr>
        <w:t>S</w:t>
      </w:r>
      <w:r w:rsidR="00BB2E7E" w:rsidRPr="00520F97">
        <w:rPr>
          <w:rFonts w:ascii="Garamond" w:eastAsia="Times New Roman" w:hAnsi="Garamond" w:cs="Times New Roman"/>
          <w:sz w:val="24"/>
          <w:szCs w:val="24"/>
          <w:lang w:val="en"/>
        </w:rPr>
        <w:t>A</w:t>
      </w:r>
      <w:r w:rsidRPr="00520F97">
        <w:rPr>
          <w:rFonts w:ascii="Garamond" w:eastAsia="Times New Roman" w:hAnsi="Garamond" w:cs="Times New Roman"/>
          <w:sz w:val="24"/>
          <w:szCs w:val="24"/>
          <w:lang w:val="en"/>
        </w:rPr>
        <w:t>P</w:t>
      </w:r>
      <w:r w:rsidR="00BB2E7E" w:rsidRPr="00520F97">
        <w:rPr>
          <w:rFonts w:ascii="Garamond" w:eastAsia="Times New Roman" w:hAnsi="Garamond" w:cs="Times New Roman"/>
          <w:sz w:val="24"/>
          <w:szCs w:val="24"/>
          <w:lang w:val="en"/>
        </w:rPr>
        <w:t xml:space="preserve">, </w:t>
      </w:r>
      <w:r w:rsidRPr="00520F97">
        <w:rPr>
          <w:rFonts w:ascii="Garamond" w:eastAsia="Times New Roman" w:hAnsi="Garamond" w:cs="Times New Roman"/>
          <w:sz w:val="24"/>
          <w:szCs w:val="24"/>
          <w:lang w:val="en"/>
        </w:rPr>
        <w:t>s</w:t>
      </w:r>
      <w:r w:rsidR="00E349C9" w:rsidRPr="00520F97">
        <w:rPr>
          <w:rFonts w:ascii="Garamond" w:eastAsia="Times New Roman" w:hAnsi="Garamond" w:cs="Times New Roman"/>
          <w:sz w:val="24"/>
          <w:szCs w:val="24"/>
          <w:lang w:val="en"/>
        </w:rPr>
        <w:t>tudents must be registered full-time</w:t>
      </w:r>
      <w:r w:rsidRPr="00520F97">
        <w:rPr>
          <w:rFonts w:ascii="Garamond" w:eastAsia="Times New Roman" w:hAnsi="Garamond" w:cs="Times New Roman"/>
          <w:sz w:val="24"/>
          <w:szCs w:val="24"/>
          <w:lang w:val="en"/>
        </w:rPr>
        <w:t xml:space="preserve"> </w:t>
      </w:r>
      <w:r w:rsidR="00E0435C" w:rsidRPr="00520F97">
        <w:rPr>
          <w:rFonts w:ascii="Garamond" w:eastAsia="Times New Roman" w:hAnsi="Garamond" w:cs="Times New Roman"/>
          <w:sz w:val="24"/>
          <w:szCs w:val="24"/>
          <w:lang w:val="en"/>
        </w:rPr>
        <w:t xml:space="preserve">(minimum 1.5 units per term) </w:t>
      </w:r>
      <w:r w:rsidRPr="00520F97">
        <w:rPr>
          <w:rFonts w:ascii="Garamond" w:eastAsia="Times New Roman" w:hAnsi="Garamond" w:cs="Times New Roman"/>
          <w:sz w:val="24"/>
          <w:szCs w:val="24"/>
          <w:lang w:val="en"/>
        </w:rPr>
        <w:t xml:space="preserve">to maintain US Direct Loan eligibility.  </w:t>
      </w:r>
      <w:r w:rsidR="00F90B21" w:rsidRPr="00520F97">
        <w:rPr>
          <w:rFonts w:ascii="Garamond" w:eastAsia="Times New Roman" w:hAnsi="Garamond" w:cs="Times New Roman"/>
          <w:sz w:val="24"/>
          <w:szCs w:val="24"/>
          <w:lang w:val="en"/>
        </w:rPr>
        <w:t>A</w:t>
      </w:r>
      <w:r w:rsidR="00E0435C" w:rsidRPr="00520F97">
        <w:rPr>
          <w:rFonts w:ascii="Garamond" w:eastAsia="Times New Roman" w:hAnsi="Garamond" w:cs="Times New Roman"/>
          <w:sz w:val="24"/>
          <w:szCs w:val="24"/>
          <w:lang w:val="en"/>
        </w:rPr>
        <w:t xml:space="preserve"> student may drop to a minimum half-time status (1.25 units) and still maintain eligibility, however </w:t>
      </w:r>
      <w:r w:rsidR="00E0435C" w:rsidRPr="00520F97">
        <w:rPr>
          <w:rFonts w:ascii="Garamond" w:eastAsia="Times New Roman" w:hAnsi="Garamond" w:cs="Times New Roman"/>
          <w:b/>
          <w:sz w:val="24"/>
          <w:szCs w:val="24"/>
          <w:lang w:val="en"/>
        </w:rPr>
        <w:t>for immigration purposes</w:t>
      </w:r>
      <w:r w:rsidR="00E0435C" w:rsidRPr="00520F97">
        <w:rPr>
          <w:rFonts w:ascii="Garamond" w:eastAsia="Times New Roman" w:hAnsi="Garamond" w:cs="Times New Roman"/>
          <w:sz w:val="24"/>
          <w:szCs w:val="24"/>
          <w:lang w:val="en"/>
        </w:rPr>
        <w:t>, international students are expected to maintain full-time status.</w:t>
      </w:r>
      <w:r w:rsidR="00F90B21" w:rsidRPr="00520F97">
        <w:rPr>
          <w:rFonts w:ascii="Garamond" w:eastAsia="Times New Roman" w:hAnsi="Garamond" w:cs="Times New Roman"/>
          <w:sz w:val="24"/>
          <w:szCs w:val="24"/>
          <w:lang w:val="en"/>
        </w:rPr>
        <w:t xml:space="preserve"> </w:t>
      </w:r>
    </w:p>
    <w:p w14:paraId="4B4D66A5" w14:textId="77777777" w:rsidR="00E349C9" w:rsidRPr="00300B17" w:rsidRDefault="00E349C9" w:rsidP="00304E17">
      <w:pPr>
        <w:spacing w:after="0" w:line="240" w:lineRule="auto"/>
        <w:rPr>
          <w:rFonts w:ascii="Garamond" w:eastAsia="Times New Roman" w:hAnsi="Garamond" w:cs="Times New Roman"/>
          <w:sz w:val="24"/>
          <w:szCs w:val="24"/>
          <w:lang w:val="en"/>
        </w:rPr>
      </w:pPr>
    </w:p>
    <w:p w14:paraId="73679E1B" w14:textId="328A9DC8" w:rsidR="009B4853" w:rsidRPr="00300B17" w:rsidRDefault="009B4853" w:rsidP="009B4853">
      <w:pPr>
        <w:jc w:val="both"/>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It is the </w:t>
      </w:r>
      <w:r w:rsidR="001D29B0" w:rsidRPr="00300B17">
        <w:rPr>
          <w:rFonts w:ascii="Garamond" w:eastAsia="Times New Roman" w:hAnsi="Garamond" w:cs="Times New Roman"/>
          <w:sz w:val="24"/>
          <w:szCs w:val="24"/>
          <w:lang w:val="en"/>
        </w:rPr>
        <w:t xml:space="preserve">responsibility of each </w:t>
      </w:r>
      <w:r w:rsidRPr="00300B17">
        <w:rPr>
          <w:rFonts w:ascii="Garamond" w:eastAsia="Times New Roman" w:hAnsi="Garamond" w:cs="Times New Roman"/>
          <w:sz w:val="24"/>
          <w:szCs w:val="24"/>
          <w:lang w:val="en"/>
        </w:rPr>
        <w:t xml:space="preserve">student </w:t>
      </w:r>
      <w:r w:rsidR="00BB2E7E">
        <w:rPr>
          <w:rFonts w:ascii="Garamond" w:eastAsia="Times New Roman" w:hAnsi="Garamond" w:cs="Times New Roman"/>
          <w:sz w:val="24"/>
          <w:szCs w:val="24"/>
          <w:lang w:val="en"/>
        </w:rPr>
        <w:t xml:space="preserve">receiving US Direct Loans </w:t>
      </w:r>
      <w:r w:rsidRPr="00300B17">
        <w:rPr>
          <w:rFonts w:ascii="Garamond" w:eastAsia="Times New Roman" w:hAnsi="Garamond" w:cs="Times New Roman"/>
          <w:sz w:val="24"/>
          <w:szCs w:val="24"/>
          <w:lang w:val="en"/>
        </w:rPr>
        <w:t>to read</w:t>
      </w:r>
      <w:r w:rsidR="001D29B0" w:rsidRPr="00300B17">
        <w:rPr>
          <w:rFonts w:ascii="Garamond" w:eastAsia="Times New Roman" w:hAnsi="Garamond" w:cs="Times New Roman"/>
          <w:sz w:val="24"/>
          <w:szCs w:val="24"/>
          <w:lang w:val="en"/>
        </w:rPr>
        <w:t>,</w:t>
      </w:r>
      <w:r w:rsidRPr="00300B17">
        <w:rPr>
          <w:rFonts w:ascii="Garamond" w:eastAsia="Times New Roman" w:hAnsi="Garamond" w:cs="Times New Roman"/>
          <w:sz w:val="24"/>
          <w:szCs w:val="24"/>
          <w:lang w:val="en"/>
        </w:rPr>
        <w:t xml:space="preserve"> and understand</w:t>
      </w:r>
      <w:r w:rsidR="001D29B0" w:rsidRPr="00300B17">
        <w:rPr>
          <w:rFonts w:ascii="Garamond" w:eastAsia="Times New Roman" w:hAnsi="Garamond" w:cs="Times New Roman"/>
          <w:sz w:val="24"/>
          <w:szCs w:val="24"/>
          <w:lang w:val="en"/>
        </w:rPr>
        <w:t>,</w:t>
      </w:r>
      <w:r w:rsidRPr="00300B17">
        <w:rPr>
          <w:rFonts w:ascii="Garamond" w:eastAsia="Times New Roman" w:hAnsi="Garamond" w:cs="Times New Roman"/>
          <w:sz w:val="24"/>
          <w:szCs w:val="24"/>
          <w:lang w:val="en"/>
        </w:rPr>
        <w:t xml:space="preserve"> Mount Saint Vincent University’s SAP Policy.</w:t>
      </w:r>
      <w:r w:rsidR="000E6F11">
        <w:rPr>
          <w:rFonts w:ascii="Garamond" w:eastAsia="Times New Roman" w:hAnsi="Garamond" w:cs="Times New Roman"/>
          <w:sz w:val="24"/>
          <w:szCs w:val="24"/>
          <w:lang w:val="en"/>
        </w:rPr>
        <w:t xml:space="preserve">  </w:t>
      </w:r>
    </w:p>
    <w:p w14:paraId="2A12B9D3" w14:textId="04EDDC1A" w:rsidR="003F6D88" w:rsidRPr="00520F97" w:rsidRDefault="003F6D88" w:rsidP="00304E17">
      <w:pPr>
        <w:spacing w:after="0" w:line="240" w:lineRule="auto"/>
        <w:rPr>
          <w:rFonts w:ascii="Garamond" w:eastAsia="Times New Roman" w:hAnsi="Garamond" w:cs="Times New Roman"/>
          <w:sz w:val="24"/>
          <w:szCs w:val="24"/>
          <w:lang w:val="en"/>
        </w:rPr>
      </w:pPr>
      <w:r w:rsidRPr="00520F97">
        <w:rPr>
          <w:rFonts w:ascii="Garamond" w:eastAsia="Times New Roman" w:hAnsi="Garamond" w:cs="Times New Roman"/>
          <w:sz w:val="24"/>
          <w:szCs w:val="24"/>
          <w:lang w:val="en"/>
        </w:rPr>
        <w:t xml:space="preserve">Mount Saint Vincent University’s academic year consists of Fall term (September-December), Winter term (January – April), Summer I (May – June) and Summer II (July-August).  </w:t>
      </w:r>
      <w:r w:rsidR="00035233" w:rsidRPr="00520F97">
        <w:rPr>
          <w:rFonts w:ascii="Garamond" w:eastAsia="Times New Roman" w:hAnsi="Garamond" w:cs="Times New Roman"/>
          <w:sz w:val="24"/>
          <w:szCs w:val="24"/>
          <w:lang w:val="en"/>
        </w:rPr>
        <w:t xml:space="preserve">US Direct Loans are disbursed in early September and early January.  </w:t>
      </w:r>
      <w:r w:rsidRPr="00520F97">
        <w:rPr>
          <w:rFonts w:ascii="Garamond" w:eastAsia="Times New Roman" w:hAnsi="Garamond" w:cs="Times New Roman"/>
          <w:sz w:val="24"/>
          <w:szCs w:val="24"/>
          <w:lang w:val="en"/>
        </w:rPr>
        <w:t>S</w:t>
      </w:r>
      <w:r w:rsidR="001B3CE4" w:rsidRPr="00520F97">
        <w:rPr>
          <w:rFonts w:ascii="Garamond" w:eastAsia="Times New Roman" w:hAnsi="Garamond" w:cs="Times New Roman"/>
          <w:sz w:val="24"/>
          <w:szCs w:val="24"/>
          <w:lang w:val="en"/>
        </w:rPr>
        <w:t xml:space="preserve">tudent records </w:t>
      </w:r>
      <w:r w:rsidR="00035233" w:rsidRPr="00520F97">
        <w:rPr>
          <w:rFonts w:ascii="Garamond" w:eastAsia="Times New Roman" w:hAnsi="Garamond" w:cs="Times New Roman"/>
          <w:sz w:val="24"/>
          <w:szCs w:val="24"/>
          <w:lang w:val="en"/>
        </w:rPr>
        <w:t xml:space="preserve">for both undergraduate and graduate students </w:t>
      </w:r>
      <w:r w:rsidR="001B3CE4" w:rsidRPr="00520F97">
        <w:rPr>
          <w:rFonts w:ascii="Garamond" w:eastAsia="Times New Roman" w:hAnsi="Garamond" w:cs="Times New Roman"/>
          <w:sz w:val="24"/>
          <w:szCs w:val="24"/>
          <w:lang w:val="en"/>
        </w:rPr>
        <w:t xml:space="preserve">are reviewed </w:t>
      </w:r>
      <w:r w:rsidR="001D29B0" w:rsidRPr="00520F97">
        <w:rPr>
          <w:rFonts w:ascii="Garamond" w:eastAsia="Times New Roman" w:hAnsi="Garamond" w:cs="Times New Roman"/>
          <w:sz w:val="24"/>
          <w:szCs w:val="24"/>
          <w:lang w:val="en"/>
        </w:rPr>
        <w:t>for SAP</w:t>
      </w:r>
      <w:r w:rsidRPr="00520F97">
        <w:rPr>
          <w:rFonts w:ascii="Garamond" w:eastAsia="Times New Roman" w:hAnsi="Garamond" w:cs="Times New Roman"/>
          <w:sz w:val="24"/>
          <w:szCs w:val="24"/>
          <w:lang w:val="en"/>
        </w:rPr>
        <w:t xml:space="preserve"> once per year, </w:t>
      </w:r>
      <w:r w:rsidR="001B3CE4" w:rsidRPr="00520F97">
        <w:rPr>
          <w:rFonts w:ascii="Garamond" w:eastAsia="Times New Roman" w:hAnsi="Garamond" w:cs="Times New Roman"/>
          <w:b/>
          <w:sz w:val="24"/>
          <w:szCs w:val="24"/>
          <w:lang w:val="en"/>
        </w:rPr>
        <w:t xml:space="preserve">at the end of the </w:t>
      </w:r>
      <w:r w:rsidRPr="00520F97">
        <w:rPr>
          <w:rFonts w:ascii="Garamond" w:eastAsia="Times New Roman" w:hAnsi="Garamond" w:cs="Times New Roman"/>
          <w:b/>
          <w:sz w:val="24"/>
          <w:szCs w:val="24"/>
          <w:lang w:val="en"/>
        </w:rPr>
        <w:t>Winter term</w:t>
      </w:r>
      <w:r w:rsidRPr="00520F97">
        <w:rPr>
          <w:rFonts w:ascii="Garamond" w:eastAsia="Times New Roman" w:hAnsi="Garamond" w:cs="Times New Roman"/>
          <w:sz w:val="24"/>
          <w:szCs w:val="24"/>
          <w:lang w:val="en"/>
        </w:rPr>
        <w:t>.</w:t>
      </w:r>
      <w:r w:rsidR="00E349C9" w:rsidRPr="00520F97">
        <w:rPr>
          <w:rFonts w:ascii="Garamond" w:eastAsia="Times New Roman" w:hAnsi="Garamond" w:cs="Times New Roman"/>
          <w:sz w:val="24"/>
          <w:szCs w:val="24"/>
          <w:lang w:val="en"/>
        </w:rPr>
        <w:t xml:space="preserve"> </w:t>
      </w:r>
      <w:r w:rsidRPr="00520F97">
        <w:rPr>
          <w:rFonts w:ascii="Garamond" w:eastAsia="Times New Roman" w:hAnsi="Garamond" w:cs="Times New Roman"/>
          <w:sz w:val="24"/>
          <w:szCs w:val="24"/>
          <w:lang w:val="en"/>
        </w:rPr>
        <w:t xml:space="preserve"> </w:t>
      </w:r>
    </w:p>
    <w:p w14:paraId="766DEBCC" w14:textId="77777777" w:rsidR="003F6D88" w:rsidRDefault="003F6D88" w:rsidP="00304E17">
      <w:pPr>
        <w:spacing w:after="0" w:line="240" w:lineRule="auto"/>
        <w:rPr>
          <w:rFonts w:ascii="Garamond" w:eastAsia="Times New Roman" w:hAnsi="Garamond" w:cs="Times New Roman"/>
          <w:sz w:val="24"/>
          <w:szCs w:val="24"/>
          <w:lang w:val="en"/>
        </w:rPr>
      </w:pPr>
    </w:p>
    <w:p w14:paraId="69296DAA" w14:textId="1891B755" w:rsidR="001D29B0" w:rsidRDefault="00AB48FB"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Mount Saint Vincent University does </w:t>
      </w:r>
      <w:r w:rsidR="001B3CE4" w:rsidRPr="00300B17">
        <w:rPr>
          <w:rFonts w:ascii="Garamond" w:eastAsia="Times New Roman" w:hAnsi="Garamond" w:cs="Times New Roman"/>
          <w:sz w:val="24"/>
          <w:szCs w:val="24"/>
          <w:lang w:val="en"/>
        </w:rPr>
        <w:t>not offer U.S. loans during summer</w:t>
      </w:r>
      <w:r w:rsidR="00625F1A">
        <w:rPr>
          <w:rFonts w:ascii="Garamond" w:eastAsia="Times New Roman" w:hAnsi="Garamond" w:cs="Times New Roman"/>
          <w:sz w:val="24"/>
          <w:szCs w:val="24"/>
          <w:lang w:val="en"/>
        </w:rPr>
        <w:t xml:space="preserve"> terms.</w:t>
      </w:r>
      <w:r w:rsidR="00E349C9" w:rsidRPr="00300B17">
        <w:rPr>
          <w:rFonts w:ascii="Garamond" w:eastAsia="Times New Roman" w:hAnsi="Garamond" w:cs="Times New Roman"/>
          <w:sz w:val="24"/>
          <w:szCs w:val="24"/>
          <w:lang w:val="en"/>
        </w:rPr>
        <w:t xml:space="preserve"> </w:t>
      </w:r>
    </w:p>
    <w:p w14:paraId="0617DC42" w14:textId="5C698254" w:rsidR="003F6D88" w:rsidRDefault="003F6D88" w:rsidP="00304E17">
      <w:pPr>
        <w:spacing w:after="0" w:line="240" w:lineRule="auto"/>
        <w:rPr>
          <w:rFonts w:ascii="Garamond" w:eastAsia="Times New Roman" w:hAnsi="Garamond" w:cs="Times New Roman"/>
          <w:sz w:val="24"/>
          <w:szCs w:val="24"/>
          <w:lang w:val="en"/>
        </w:rPr>
      </w:pPr>
    </w:p>
    <w:p w14:paraId="23D72A72" w14:textId="77777777" w:rsidR="005B6A5B" w:rsidRPr="00300B17" w:rsidRDefault="005B6A5B" w:rsidP="00304E17">
      <w:pPr>
        <w:spacing w:after="0" w:line="240" w:lineRule="auto"/>
        <w:rPr>
          <w:rFonts w:ascii="Garamond" w:hAnsi="Garamond" w:cs="Times New Roman"/>
          <w:sz w:val="24"/>
          <w:szCs w:val="24"/>
        </w:rPr>
      </w:pPr>
      <w:r w:rsidRPr="00300B17">
        <w:rPr>
          <w:rFonts w:ascii="Garamond" w:hAnsi="Garamond" w:cs="Times New Roman"/>
          <w:sz w:val="24"/>
          <w:szCs w:val="24"/>
        </w:rPr>
        <w:t>In order to maintain eligibility for US Direct Loans, M</w:t>
      </w:r>
      <w:r w:rsidR="00304E17" w:rsidRPr="00300B17">
        <w:rPr>
          <w:rFonts w:ascii="Garamond" w:hAnsi="Garamond" w:cs="Times New Roman"/>
          <w:sz w:val="24"/>
          <w:szCs w:val="24"/>
        </w:rPr>
        <w:t>ount</w:t>
      </w:r>
      <w:r w:rsidRPr="00300B17">
        <w:rPr>
          <w:rFonts w:ascii="Garamond" w:hAnsi="Garamond" w:cs="Times New Roman"/>
          <w:sz w:val="24"/>
          <w:szCs w:val="24"/>
        </w:rPr>
        <w:t xml:space="preserve"> students must meet the following criteria:</w:t>
      </w:r>
    </w:p>
    <w:p w14:paraId="10840BCB" w14:textId="77777777" w:rsidR="00F90B21" w:rsidRPr="00300B17" w:rsidRDefault="00F90B21" w:rsidP="009B4853">
      <w:pPr>
        <w:pStyle w:val="ListParagraph"/>
        <w:numPr>
          <w:ilvl w:val="0"/>
          <w:numId w:val="1"/>
        </w:numPr>
        <w:rPr>
          <w:rFonts w:ascii="Garamond" w:hAnsi="Garamond" w:cs="Times New Roman"/>
        </w:rPr>
      </w:pPr>
      <w:r w:rsidRPr="00300B17">
        <w:rPr>
          <w:rFonts w:ascii="Garamond" w:hAnsi="Garamond" w:cs="Times New Roman"/>
        </w:rPr>
        <w:t>Grade Point Average (Qualitative</w:t>
      </w:r>
      <w:r w:rsidR="001D29B0" w:rsidRPr="00300B17">
        <w:rPr>
          <w:rFonts w:ascii="Garamond" w:hAnsi="Garamond" w:cs="Times New Roman"/>
        </w:rPr>
        <w:t xml:space="preserve"> component</w:t>
      </w:r>
      <w:r w:rsidRPr="00300B17">
        <w:rPr>
          <w:rFonts w:ascii="Garamond" w:hAnsi="Garamond" w:cs="Times New Roman"/>
        </w:rPr>
        <w:t>)</w:t>
      </w:r>
    </w:p>
    <w:p w14:paraId="34C51CF3" w14:textId="77777777" w:rsidR="00F90B21" w:rsidRPr="00300B17" w:rsidRDefault="00F90B21" w:rsidP="009B4853">
      <w:pPr>
        <w:pStyle w:val="ListParagraph"/>
        <w:numPr>
          <w:ilvl w:val="0"/>
          <w:numId w:val="1"/>
        </w:numPr>
        <w:rPr>
          <w:rFonts w:ascii="Garamond" w:hAnsi="Garamond" w:cs="Times New Roman"/>
        </w:rPr>
      </w:pPr>
      <w:r w:rsidRPr="00300B17">
        <w:rPr>
          <w:rFonts w:ascii="Garamond" w:hAnsi="Garamond" w:cs="Times New Roman"/>
        </w:rPr>
        <w:t>Pace</w:t>
      </w:r>
      <w:r w:rsidR="00BD68BD" w:rsidRPr="00300B17">
        <w:rPr>
          <w:rFonts w:ascii="Garamond" w:hAnsi="Garamond" w:cs="Times New Roman"/>
        </w:rPr>
        <w:t xml:space="preserve"> of Progression</w:t>
      </w:r>
      <w:r w:rsidRPr="00300B17">
        <w:rPr>
          <w:rFonts w:ascii="Garamond" w:hAnsi="Garamond" w:cs="Times New Roman"/>
        </w:rPr>
        <w:t xml:space="preserve"> (Quantitative</w:t>
      </w:r>
      <w:r w:rsidR="001D29B0" w:rsidRPr="00300B17">
        <w:rPr>
          <w:rFonts w:ascii="Garamond" w:hAnsi="Garamond" w:cs="Times New Roman"/>
        </w:rPr>
        <w:t xml:space="preserve"> component</w:t>
      </w:r>
      <w:r w:rsidRPr="00300B17">
        <w:rPr>
          <w:rFonts w:ascii="Garamond" w:hAnsi="Garamond" w:cs="Times New Roman"/>
        </w:rPr>
        <w:t>)</w:t>
      </w:r>
    </w:p>
    <w:p w14:paraId="08F46495" w14:textId="77777777" w:rsidR="00F90B21" w:rsidRPr="00300B17" w:rsidRDefault="00BD68BD" w:rsidP="009B4853">
      <w:pPr>
        <w:pStyle w:val="ListParagraph"/>
        <w:numPr>
          <w:ilvl w:val="0"/>
          <w:numId w:val="1"/>
        </w:numPr>
        <w:rPr>
          <w:rFonts w:ascii="Garamond" w:hAnsi="Garamond" w:cs="Times New Roman"/>
        </w:rPr>
      </w:pPr>
      <w:r w:rsidRPr="00300B17">
        <w:rPr>
          <w:rFonts w:ascii="Garamond" w:hAnsi="Garamond" w:cs="Times New Roman"/>
        </w:rPr>
        <w:t xml:space="preserve">Maximum </w:t>
      </w:r>
      <w:r w:rsidR="00F90B21" w:rsidRPr="00300B17">
        <w:rPr>
          <w:rFonts w:ascii="Garamond" w:hAnsi="Garamond" w:cs="Times New Roman"/>
        </w:rPr>
        <w:t xml:space="preserve">Time </w:t>
      </w:r>
      <w:r w:rsidRPr="00300B17">
        <w:rPr>
          <w:rFonts w:ascii="Garamond" w:hAnsi="Garamond" w:cs="Times New Roman"/>
        </w:rPr>
        <w:t xml:space="preserve">to program completion </w:t>
      </w:r>
      <w:r w:rsidR="00F90B21" w:rsidRPr="00300B17">
        <w:rPr>
          <w:rFonts w:ascii="Garamond" w:hAnsi="Garamond" w:cs="Times New Roman"/>
        </w:rPr>
        <w:t>(Quantitative</w:t>
      </w:r>
      <w:r w:rsidR="001D29B0" w:rsidRPr="00300B17">
        <w:rPr>
          <w:rFonts w:ascii="Garamond" w:hAnsi="Garamond" w:cs="Times New Roman"/>
        </w:rPr>
        <w:t xml:space="preserve"> component</w:t>
      </w:r>
      <w:r w:rsidR="00F90B21" w:rsidRPr="00300B17">
        <w:rPr>
          <w:rFonts w:ascii="Garamond" w:hAnsi="Garamond" w:cs="Times New Roman"/>
        </w:rPr>
        <w:t>)</w:t>
      </w:r>
    </w:p>
    <w:p w14:paraId="22C3547D" w14:textId="77777777" w:rsidR="00F90B21" w:rsidRPr="00300B17" w:rsidRDefault="00F90B21" w:rsidP="00F90B21">
      <w:pPr>
        <w:pStyle w:val="ListParagraph"/>
        <w:rPr>
          <w:rFonts w:ascii="Garamond" w:hAnsi="Garamond" w:cs="Times New Roman"/>
        </w:rPr>
      </w:pPr>
    </w:p>
    <w:p w14:paraId="3A8D0744" w14:textId="77777777" w:rsidR="00BB2E7E" w:rsidRPr="00300B17" w:rsidRDefault="00F90B21" w:rsidP="00BB2E7E">
      <w:pPr>
        <w:spacing w:after="0" w:line="240" w:lineRule="auto"/>
        <w:rPr>
          <w:rFonts w:ascii="Garamond" w:eastAsia="Times New Roman" w:hAnsi="Garamond" w:cs="Times New Roman"/>
          <w:sz w:val="24"/>
          <w:szCs w:val="24"/>
          <w:lang w:val="en"/>
        </w:rPr>
      </w:pPr>
      <w:r w:rsidRPr="00300B17">
        <w:rPr>
          <w:rFonts w:ascii="Garamond" w:hAnsi="Garamond" w:cs="Times New Roman"/>
          <w:b/>
          <w:sz w:val="24"/>
          <w:szCs w:val="24"/>
        </w:rPr>
        <w:t>Failure to meeting all</w:t>
      </w:r>
      <w:r w:rsidR="00ED5B2A" w:rsidRPr="00300B17">
        <w:rPr>
          <w:rFonts w:ascii="Garamond" w:hAnsi="Garamond" w:cs="Times New Roman"/>
          <w:b/>
          <w:sz w:val="24"/>
          <w:szCs w:val="24"/>
        </w:rPr>
        <w:t>,</w:t>
      </w:r>
      <w:r w:rsidRPr="00300B17">
        <w:rPr>
          <w:rFonts w:ascii="Garamond" w:hAnsi="Garamond" w:cs="Times New Roman"/>
          <w:b/>
          <w:sz w:val="24"/>
          <w:szCs w:val="24"/>
        </w:rPr>
        <w:t xml:space="preserve"> or any</w:t>
      </w:r>
      <w:r w:rsidR="00ED5B2A" w:rsidRPr="00300B17">
        <w:rPr>
          <w:rFonts w:ascii="Garamond" w:hAnsi="Garamond" w:cs="Times New Roman"/>
          <w:b/>
          <w:sz w:val="24"/>
          <w:szCs w:val="24"/>
        </w:rPr>
        <w:t>,</w:t>
      </w:r>
      <w:r w:rsidRPr="00300B17">
        <w:rPr>
          <w:rFonts w:ascii="Garamond" w:hAnsi="Garamond" w:cs="Times New Roman"/>
          <w:b/>
          <w:sz w:val="24"/>
          <w:szCs w:val="24"/>
        </w:rPr>
        <w:t xml:space="preserve"> of these three requirements </w:t>
      </w:r>
      <w:r w:rsidR="00BB2E7E">
        <w:rPr>
          <w:rFonts w:ascii="Garamond" w:hAnsi="Garamond" w:cs="Times New Roman"/>
          <w:b/>
          <w:sz w:val="24"/>
          <w:szCs w:val="24"/>
        </w:rPr>
        <w:t>means a student has not achieved Satisfactory Academic Progress and the student is NOT eligible for US Direct Loans for the following academic year(s).</w:t>
      </w:r>
    </w:p>
    <w:p w14:paraId="4F5C9CF6" w14:textId="77777777" w:rsidR="00F72AB8" w:rsidRDefault="00F72AB8" w:rsidP="00F90B21">
      <w:pPr>
        <w:rPr>
          <w:rFonts w:ascii="Garamond" w:hAnsi="Garamond" w:cs="Times New Roman"/>
          <w:b/>
          <w:sz w:val="24"/>
          <w:szCs w:val="24"/>
        </w:rPr>
      </w:pPr>
    </w:p>
    <w:p w14:paraId="2EFE5A5E" w14:textId="530DC383" w:rsidR="001D29B0" w:rsidRPr="00300B17" w:rsidRDefault="00F90B21" w:rsidP="00F90B21">
      <w:pPr>
        <w:rPr>
          <w:rFonts w:ascii="Garamond" w:hAnsi="Garamond" w:cs="Times New Roman"/>
          <w:b/>
          <w:sz w:val="24"/>
          <w:szCs w:val="24"/>
        </w:rPr>
      </w:pPr>
      <w:r w:rsidRPr="00300B17">
        <w:rPr>
          <w:rFonts w:ascii="Garamond" w:hAnsi="Garamond" w:cs="Times New Roman"/>
          <w:b/>
          <w:sz w:val="24"/>
          <w:szCs w:val="24"/>
        </w:rPr>
        <w:t xml:space="preserve">Grade Point Average </w:t>
      </w:r>
      <w:r w:rsidR="003F6D88">
        <w:rPr>
          <w:rFonts w:ascii="Garamond" w:hAnsi="Garamond" w:cs="Times New Roman"/>
          <w:b/>
          <w:sz w:val="24"/>
          <w:szCs w:val="24"/>
        </w:rPr>
        <w:t>(Qualitative Component)</w:t>
      </w:r>
    </w:p>
    <w:p w14:paraId="6EDD892F" w14:textId="65F010E9" w:rsidR="005B6A5B" w:rsidRPr="00520F97" w:rsidRDefault="00F55284" w:rsidP="00300B17">
      <w:pPr>
        <w:rPr>
          <w:rFonts w:ascii="Garamond" w:hAnsi="Garamond" w:cs="Times New Roman"/>
          <w:sz w:val="24"/>
          <w:szCs w:val="24"/>
        </w:rPr>
      </w:pPr>
      <w:r w:rsidRPr="00520F97">
        <w:rPr>
          <w:rFonts w:ascii="Garamond" w:hAnsi="Garamond" w:cs="Times New Roman"/>
          <w:sz w:val="24"/>
          <w:szCs w:val="24"/>
        </w:rPr>
        <w:t xml:space="preserve">To be eligible for US Direct Loans, undergraduate students must maintain good academic standing.  Good academic standing for </w:t>
      </w:r>
      <w:r w:rsidR="00675776">
        <w:rPr>
          <w:rFonts w:ascii="Garamond" w:hAnsi="Garamond" w:cs="Times New Roman"/>
          <w:sz w:val="24"/>
          <w:szCs w:val="24"/>
        </w:rPr>
        <w:t xml:space="preserve">all Mount Saint Vincent University </w:t>
      </w:r>
      <w:r w:rsidRPr="00520F97">
        <w:rPr>
          <w:rFonts w:ascii="Garamond" w:hAnsi="Garamond" w:cs="Times New Roman"/>
          <w:sz w:val="24"/>
          <w:szCs w:val="24"/>
        </w:rPr>
        <w:t xml:space="preserve">undergraduate students is defined as a </w:t>
      </w:r>
      <w:r w:rsidR="00F90B21" w:rsidRPr="00520F97">
        <w:rPr>
          <w:rFonts w:ascii="Garamond" w:hAnsi="Garamond" w:cs="Times New Roman"/>
          <w:sz w:val="24"/>
          <w:szCs w:val="24"/>
        </w:rPr>
        <w:t xml:space="preserve">Cumulative Grade Point Average </w:t>
      </w:r>
      <w:r w:rsidR="00AB48FB" w:rsidRPr="00520F97">
        <w:rPr>
          <w:rFonts w:ascii="Garamond" w:hAnsi="Garamond" w:cs="Times New Roman"/>
          <w:sz w:val="24"/>
          <w:szCs w:val="24"/>
        </w:rPr>
        <w:t>(CGPA) of 1.7 or</w:t>
      </w:r>
      <w:r w:rsidR="00625F1A">
        <w:rPr>
          <w:rFonts w:ascii="Garamond" w:hAnsi="Garamond" w:cs="Times New Roman"/>
          <w:sz w:val="24"/>
          <w:szCs w:val="24"/>
        </w:rPr>
        <w:t xml:space="preserve"> higher.</w:t>
      </w:r>
      <w:r w:rsidR="00625F1A" w:rsidRPr="00520F97">
        <w:rPr>
          <w:rFonts w:ascii="Garamond" w:hAnsi="Garamond" w:cs="Times New Roman"/>
          <w:sz w:val="24"/>
          <w:szCs w:val="24"/>
        </w:rPr>
        <w:t xml:space="preserve"> </w:t>
      </w:r>
    </w:p>
    <w:p w14:paraId="74C37BE0" w14:textId="6DF9A73C" w:rsidR="00F55284" w:rsidRPr="00520F97" w:rsidRDefault="00675776" w:rsidP="00300B17">
      <w:pPr>
        <w:rPr>
          <w:rFonts w:ascii="Garamond" w:hAnsi="Garamond" w:cs="Times New Roman"/>
          <w:sz w:val="24"/>
          <w:szCs w:val="24"/>
        </w:rPr>
      </w:pPr>
      <w:r>
        <w:rPr>
          <w:rFonts w:ascii="Garamond" w:hAnsi="Garamond" w:cs="Times New Roman"/>
          <w:sz w:val="24"/>
          <w:szCs w:val="24"/>
        </w:rPr>
        <w:t>To maintain good academic standing</w:t>
      </w:r>
      <w:r w:rsidR="00625F1A">
        <w:rPr>
          <w:rFonts w:ascii="Garamond" w:hAnsi="Garamond" w:cs="Times New Roman"/>
          <w:sz w:val="24"/>
          <w:szCs w:val="24"/>
        </w:rPr>
        <w:t xml:space="preserve"> in a </w:t>
      </w:r>
      <w:r>
        <w:rPr>
          <w:rFonts w:ascii="Garamond" w:hAnsi="Garamond" w:cs="Times New Roman"/>
          <w:sz w:val="24"/>
          <w:szCs w:val="24"/>
        </w:rPr>
        <w:t>Mount Saint Vincent University g</w:t>
      </w:r>
      <w:r w:rsidR="00F55284" w:rsidRPr="00520F97">
        <w:rPr>
          <w:rFonts w:ascii="Garamond" w:hAnsi="Garamond" w:cs="Times New Roman"/>
          <w:sz w:val="24"/>
          <w:szCs w:val="24"/>
        </w:rPr>
        <w:t>raduate</w:t>
      </w:r>
      <w:r w:rsidR="00625F1A">
        <w:rPr>
          <w:rFonts w:ascii="Garamond" w:hAnsi="Garamond" w:cs="Times New Roman"/>
          <w:sz w:val="24"/>
          <w:szCs w:val="24"/>
        </w:rPr>
        <w:t xml:space="preserve"> program,</w:t>
      </w:r>
      <w:r w:rsidR="00F55284" w:rsidRPr="00520F97">
        <w:rPr>
          <w:rFonts w:ascii="Garamond" w:hAnsi="Garamond" w:cs="Times New Roman"/>
          <w:sz w:val="24"/>
          <w:szCs w:val="24"/>
        </w:rPr>
        <w:t xml:space="preserve"> students must maintain a 3.0 GPA over all graduate courses, not receive a grade of “C” in more than 1.0 unit of coursework; and no grade of “F” or “F*”.</w:t>
      </w:r>
    </w:p>
    <w:p w14:paraId="43E4C364" w14:textId="2763CFB3" w:rsidR="00ED5B2A" w:rsidRPr="00300B17" w:rsidRDefault="00ED5B2A" w:rsidP="00F90B21">
      <w:pPr>
        <w:rPr>
          <w:rFonts w:ascii="Garamond" w:hAnsi="Garamond" w:cs="Times New Roman"/>
          <w:b/>
          <w:sz w:val="24"/>
          <w:szCs w:val="24"/>
        </w:rPr>
      </w:pPr>
      <w:r w:rsidRPr="00300B17">
        <w:rPr>
          <w:rFonts w:ascii="Garamond" w:hAnsi="Garamond" w:cs="Times New Roman"/>
          <w:b/>
          <w:sz w:val="24"/>
          <w:szCs w:val="24"/>
        </w:rPr>
        <w:t>Pace</w:t>
      </w:r>
      <w:r w:rsidR="00BD68BD" w:rsidRPr="00300B17">
        <w:rPr>
          <w:rFonts w:ascii="Garamond" w:hAnsi="Garamond" w:cs="Times New Roman"/>
          <w:b/>
          <w:sz w:val="24"/>
          <w:szCs w:val="24"/>
        </w:rPr>
        <w:t xml:space="preserve"> of </w:t>
      </w:r>
      <w:r w:rsidR="00625F1A">
        <w:rPr>
          <w:rFonts w:ascii="Garamond" w:hAnsi="Garamond" w:cs="Times New Roman"/>
          <w:b/>
          <w:sz w:val="24"/>
          <w:szCs w:val="24"/>
        </w:rPr>
        <w:t xml:space="preserve">Progression </w:t>
      </w:r>
      <w:r w:rsidR="00F55284">
        <w:rPr>
          <w:rFonts w:ascii="Garamond" w:hAnsi="Garamond" w:cs="Times New Roman"/>
          <w:b/>
          <w:sz w:val="24"/>
          <w:szCs w:val="24"/>
        </w:rPr>
        <w:t>(Quantitative Component)</w:t>
      </w:r>
    </w:p>
    <w:p w14:paraId="3A289BC9" w14:textId="77777777" w:rsidR="001D29B0" w:rsidRPr="00300B17" w:rsidRDefault="001D29B0" w:rsidP="00300B17">
      <w:pPr>
        <w:rPr>
          <w:rFonts w:ascii="Garamond" w:hAnsi="Garamond" w:cs="Times New Roman"/>
          <w:sz w:val="24"/>
          <w:szCs w:val="24"/>
        </w:rPr>
      </w:pPr>
      <w:r w:rsidRPr="00300B17">
        <w:rPr>
          <w:rFonts w:ascii="Garamond" w:hAnsi="Garamond" w:cs="Times New Roman"/>
          <w:sz w:val="24"/>
          <w:szCs w:val="24"/>
        </w:rPr>
        <w:lastRenderedPageBreak/>
        <w:t xml:space="preserve">Pace is calculated as Cumulative </w:t>
      </w:r>
      <w:r w:rsidR="006A52EE">
        <w:rPr>
          <w:rFonts w:ascii="Garamond" w:hAnsi="Garamond" w:cs="Times New Roman"/>
          <w:sz w:val="24"/>
          <w:szCs w:val="24"/>
        </w:rPr>
        <w:t>Units</w:t>
      </w:r>
      <w:r w:rsidRPr="00300B17">
        <w:rPr>
          <w:rFonts w:ascii="Garamond" w:hAnsi="Garamond" w:cs="Times New Roman"/>
          <w:sz w:val="24"/>
          <w:szCs w:val="24"/>
        </w:rPr>
        <w:t xml:space="preserve"> Completed/Cumulative </w:t>
      </w:r>
      <w:r w:rsidR="006A52EE">
        <w:rPr>
          <w:rFonts w:ascii="Garamond" w:hAnsi="Garamond" w:cs="Times New Roman"/>
          <w:sz w:val="24"/>
          <w:szCs w:val="24"/>
        </w:rPr>
        <w:t>Units</w:t>
      </w:r>
      <w:r w:rsidRPr="00300B17">
        <w:rPr>
          <w:rFonts w:ascii="Garamond" w:hAnsi="Garamond" w:cs="Times New Roman"/>
          <w:sz w:val="24"/>
          <w:szCs w:val="24"/>
        </w:rPr>
        <w:t xml:space="preserve"> Attempted</w:t>
      </w:r>
    </w:p>
    <w:p w14:paraId="42ED3A4C" w14:textId="77777777" w:rsidR="009B4853" w:rsidRPr="00300B17" w:rsidRDefault="00ED5B2A" w:rsidP="00300B17">
      <w:pPr>
        <w:rPr>
          <w:rFonts w:ascii="Garamond" w:hAnsi="Garamond" w:cs="Times New Roman"/>
          <w:sz w:val="24"/>
          <w:szCs w:val="24"/>
        </w:rPr>
      </w:pPr>
      <w:r w:rsidRPr="00300B17">
        <w:rPr>
          <w:rFonts w:ascii="Garamond" w:hAnsi="Garamond" w:cs="Times New Roman"/>
          <w:sz w:val="24"/>
          <w:szCs w:val="24"/>
        </w:rPr>
        <w:t>Students must c</w:t>
      </w:r>
      <w:r w:rsidR="009B4853" w:rsidRPr="00300B17">
        <w:rPr>
          <w:rFonts w:ascii="Garamond" w:hAnsi="Garamond" w:cs="Times New Roman"/>
          <w:sz w:val="24"/>
          <w:szCs w:val="24"/>
        </w:rPr>
        <w:t xml:space="preserve">omplete 67% of all </w:t>
      </w:r>
      <w:r w:rsidR="006A52EE">
        <w:rPr>
          <w:rFonts w:ascii="Garamond" w:hAnsi="Garamond" w:cs="Times New Roman"/>
          <w:sz w:val="24"/>
          <w:szCs w:val="24"/>
        </w:rPr>
        <w:t xml:space="preserve">units </w:t>
      </w:r>
      <w:r w:rsidR="009B4853" w:rsidRPr="00300B17">
        <w:rPr>
          <w:rFonts w:ascii="Garamond" w:hAnsi="Garamond" w:cs="Times New Roman"/>
          <w:sz w:val="24"/>
          <w:szCs w:val="24"/>
        </w:rPr>
        <w:t>attempted</w:t>
      </w:r>
      <w:r w:rsidR="00E74A5C" w:rsidRPr="00300B17">
        <w:rPr>
          <w:rFonts w:ascii="Garamond" w:hAnsi="Garamond" w:cs="Times New Roman"/>
          <w:sz w:val="24"/>
          <w:szCs w:val="24"/>
        </w:rPr>
        <w:t>; standard rounding rules apply</w:t>
      </w:r>
      <w:r w:rsidR="006A52EE">
        <w:rPr>
          <w:rFonts w:ascii="Garamond" w:hAnsi="Garamond" w:cs="Times New Roman"/>
          <w:sz w:val="24"/>
          <w:szCs w:val="24"/>
        </w:rPr>
        <w:t>.</w:t>
      </w:r>
    </w:p>
    <w:p w14:paraId="227D65A5" w14:textId="286B3563" w:rsidR="009B084D" w:rsidRPr="00300B17" w:rsidRDefault="009B084D" w:rsidP="009B084D">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Students should understand that course failures, repetition of courses, incompletes and deferred courses all add to the length of your program and extend the time required to complete your </w:t>
      </w:r>
      <w:r w:rsidR="00625F1A">
        <w:rPr>
          <w:rFonts w:ascii="Garamond" w:eastAsia="Times New Roman" w:hAnsi="Garamond" w:cs="Times New Roman"/>
          <w:sz w:val="24"/>
          <w:szCs w:val="24"/>
          <w:lang w:val="en"/>
        </w:rPr>
        <w:t>degree.</w:t>
      </w:r>
    </w:p>
    <w:p w14:paraId="4179A973" w14:textId="77777777" w:rsidR="009B084D" w:rsidRDefault="00ED5B2A" w:rsidP="009B084D">
      <w:pPr>
        <w:spacing w:before="100" w:beforeAutospacing="1" w:after="0"/>
        <w:rPr>
          <w:rFonts w:ascii="Garamond" w:hAnsi="Garamond" w:cs="Times New Roman"/>
          <w:sz w:val="24"/>
          <w:szCs w:val="24"/>
        </w:rPr>
      </w:pPr>
      <w:r w:rsidRPr="00300B17">
        <w:rPr>
          <w:rFonts w:ascii="Garamond" w:hAnsi="Garamond" w:cs="Times New Roman"/>
          <w:sz w:val="24"/>
          <w:szCs w:val="24"/>
        </w:rPr>
        <w:t xml:space="preserve">Incomplete (INC) and Deferrals (DEF) are considered in the </w:t>
      </w:r>
      <w:r w:rsidR="006A52EE">
        <w:rPr>
          <w:rFonts w:ascii="Garamond" w:hAnsi="Garamond" w:cs="Times New Roman"/>
          <w:sz w:val="24"/>
          <w:szCs w:val="24"/>
        </w:rPr>
        <w:t>units</w:t>
      </w:r>
      <w:r w:rsidRPr="00300B17">
        <w:rPr>
          <w:rFonts w:ascii="Garamond" w:hAnsi="Garamond" w:cs="Times New Roman"/>
          <w:sz w:val="24"/>
          <w:szCs w:val="24"/>
        </w:rPr>
        <w:t xml:space="preserve"> attempted</w:t>
      </w:r>
      <w:r w:rsidR="00001422" w:rsidRPr="00300B17">
        <w:rPr>
          <w:rFonts w:ascii="Garamond" w:hAnsi="Garamond" w:cs="Times New Roman"/>
          <w:sz w:val="24"/>
          <w:szCs w:val="24"/>
        </w:rPr>
        <w:t xml:space="preserve"> but not </w:t>
      </w:r>
      <w:r w:rsidRPr="00300B17">
        <w:rPr>
          <w:rFonts w:ascii="Garamond" w:hAnsi="Garamond" w:cs="Times New Roman"/>
          <w:sz w:val="24"/>
          <w:szCs w:val="24"/>
        </w:rPr>
        <w:t>included in the CGPA calculation</w:t>
      </w:r>
      <w:r w:rsidR="00001422" w:rsidRPr="00300B17">
        <w:rPr>
          <w:rFonts w:ascii="Garamond" w:hAnsi="Garamond" w:cs="Times New Roman"/>
          <w:sz w:val="24"/>
          <w:szCs w:val="24"/>
        </w:rPr>
        <w:t xml:space="preserve"> until replaced with a final grade</w:t>
      </w:r>
      <w:r w:rsidRPr="00300B17">
        <w:rPr>
          <w:rFonts w:ascii="Garamond" w:hAnsi="Garamond" w:cs="Times New Roman"/>
          <w:sz w:val="24"/>
          <w:szCs w:val="24"/>
        </w:rPr>
        <w:t>.</w:t>
      </w:r>
    </w:p>
    <w:p w14:paraId="4F07881D" w14:textId="77777777" w:rsidR="009B084D" w:rsidRDefault="00ED5B2A" w:rsidP="009B084D">
      <w:pPr>
        <w:spacing w:before="100" w:beforeAutospacing="1" w:after="0"/>
        <w:rPr>
          <w:rFonts w:ascii="Garamond" w:hAnsi="Garamond" w:cs="Times New Roman"/>
          <w:sz w:val="24"/>
          <w:szCs w:val="24"/>
        </w:rPr>
      </w:pPr>
      <w:r w:rsidRPr="00300B17">
        <w:rPr>
          <w:rFonts w:ascii="Garamond" w:hAnsi="Garamond" w:cs="Times New Roman"/>
          <w:sz w:val="24"/>
          <w:szCs w:val="24"/>
        </w:rPr>
        <w:t xml:space="preserve">Withdrawals without academic penalty (W) are considered in the </w:t>
      </w:r>
      <w:r w:rsidR="006A52EE">
        <w:rPr>
          <w:rFonts w:ascii="Garamond" w:hAnsi="Garamond" w:cs="Times New Roman"/>
          <w:sz w:val="24"/>
          <w:szCs w:val="24"/>
        </w:rPr>
        <w:t>units</w:t>
      </w:r>
      <w:r w:rsidR="009B084D">
        <w:rPr>
          <w:rFonts w:ascii="Garamond" w:hAnsi="Garamond" w:cs="Times New Roman"/>
          <w:sz w:val="24"/>
          <w:szCs w:val="24"/>
        </w:rPr>
        <w:t xml:space="preserve"> attempted</w:t>
      </w:r>
      <w:r w:rsidRPr="00300B17">
        <w:rPr>
          <w:rFonts w:ascii="Garamond" w:hAnsi="Garamond" w:cs="Times New Roman"/>
          <w:sz w:val="24"/>
          <w:szCs w:val="24"/>
        </w:rPr>
        <w:t xml:space="preserve"> but not used in CGPA calculations</w:t>
      </w:r>
      <w:r w:rsidR="006A52EE">
        <w:rPr>
          <w:rFonts w:ascii="Garamond" w:hAnsi="Garamond" w:cs="Times New Roman"/>
          <w:sz w:val="24"/>
          <w:szCs w:val="24"/>
        </w:rPr>
        <w:t>.</w:t>
      </w:r>
    </w:p>
    <w:p w14:paraId="3F2248A9" w14:textId="77777777" w:rsidR="009B084D" w:rsidRDefault="00ED5B2A" w:rsidP="009B084D">
      <w:pPr>
        <w:spacing w:before="100" w:beforeAutospacing="1" w:after="0"/>
        <w:rPr>
          <w:rFonts w:ascii="Garamond" w:hAnsi="Garamond" w:cs="Times New Roman"/>
          <w:sz w:val="24"/>
          <w:szCs w:val="24"/>
        </w:rPr>
      </w:pPr>
      <w:r w:rsidRPr="00300B17">
        <w:rPr>
          <w:rFonts w:ascii="Garamond" w:hAnsi="Garamond" w:cs="Times New Roman"/>
          <w:sz w:val="24"/>
          <w:szCs w:val="24"/>
        </w:rPr>
        <w:t xml:space="preserve">Withdrawals with academic penalty (WF) are considered in both </w:t>
      </w:r>
      <w:r w:rsidR="006A52EE">
        <w:rPr>
          <w:rFonts w:ascii="Garamond" w:hAnsi="Garamond" w:cs="Times New Roman"/>
          <w:sz w:val="24"/>
          <w:szCs w:val="24"/>
        </w:rPr>
        <w:t>units</w:t>
      </w:r>
      <w:r w:rsidRPr="00300B17">
        <w:rPr>
          <w:rFonts w:ascii="Garamond" w:hAnsi="Garamond" w:cs="Times New Roman"/>
          <w:sz w:val="24"/>
          <w:szCs w:val="24"/>
        </w:rPr>
        <w:t xml:space="preserve"> attempted and CGPA calcu</w:t>
      </w:r>
      <w:r w:rsidR="00E74A5C" w:rsidRPr="00300B17">
        <w:rPr>
          <w:rFonts w:ascii="Garamond" w:hAnsi="Garamond" w:cs="Times New Roman"/>
          <w:sz w:val="24"/>
          <w:szCs w:val="24"/>
        </w:rPr>
        <w:t>l</w:t>
      </w:r>
      <w:r w:rsidRPr="00300B17">
        <w:rPr>
          <w:rFonts w:ascii="Garamond" w:hAnsi="Garamond" w:cs="Times New Roman"/>
          <w:sz w:val="24"/>
          <w:szCs w:val="24"/>
        </w:rPr>
        <w:t>ations.</w:t>
      </w:r>
    </w:p>
    <w:p w14:paraId="391ECF6A" w14:textId="77777777" w:rsidR="009B084D" w:rsidRDefault="009B084D" w:rsidP="009B084D">
      <w:pPr>
        <w:spacing w:before="100" w:beforeAutospacing="1" w:after="0"/>
        <w:rPr>
          <w:rFonts w:ascii="Garamond" w:hAnsi="Garamond" w:cs="Times New Roman"/>
          <w:sz w:val="24"/>
          <w:szCs w:val="24"/>
        </w:rPr>
      </w:pPr>
      <w:r>
        <w:rPr>
          <w:rFonts w:ascii="Garamond" w:hAnsi="Garamond" w:cs="Times New Roman"/>
          <w:sz w:val="24"/>
          <w:szCs w:val="24"/>
        </w:rPr>
        <w:t>Repeated courses are included in the credit hours attempted, only the highest grade is included in the CGPA calculation.</w:t>
      </w:r>
    </w:p>
    <w:p w14:paraId="20A7C48D" w14:textId="22C10994" w:rsidR="00520F97" w:rsidRDefault="00520F97" w:rsidP="00520F97">
      <w:pPr>
        <w:spacing w:before="100" w:beforeAutospacing="1" w:after="0"/>
        <w:rPr>
          <w:rFonts w:ascii="Garamond" w:hAnsi="Garamond" w:cs="Times New Roman"/>
          <w:sz w:val="24"/>
          <w:szCs w:val="24"/>
        </w:rPr>
      </w:pPr>
      <w:r>
        <w:rPr>
          <w:rFonts w:ascii="Garamond" w:eastAsia="Times New Roman" w:hAnsi="Garamond" w:cs="Times New Roman"/>
          <w:sz w:val="24"/>
          <w:szCs w:val="24"/>
          <w:lang w:val="en"/>
        </w:rPr>
        <w:t>F</w:t>
      </w:r>
      <w:r w:rsidRPr="00300B17">
        <w:rPr>
          <w:rFonts w:ascii="Garamond" w:eastAsia="Times New Roman" w:hAnsi="Garamond" w:cs="Times New Roman"/>
          <w:sz w:val="24"/>
          <w:szCs w:val="24"/>
          <w:lang w:val="en"/>
        </w:rPr>
        <w:t>or those accepted to the University as transfer students, their transfer credits will count toward the</w:t>
      </w:r>
      <w:r w:rsidR="00625F1A">
        <w:rPr>
          <w:rFonts w:ascii="Garamond" w:eastAsia="Times New Roman" w:hAnsi="Garamond" w:cs="Times New Roman"/>
          <w:sz w:val="24"/>
          <w:szCs w:val="24"/>
          <w:lang w:val="en"/>
        </w:rPr>
        <w:t xml:space="preserve"> timely completion of their program.  C</w:t>
      </w:r>
      <w:proofErr w:type="spellStart"/>
      <w:r w:rsidRPr="00300B17">
        <w:rPr>
          <w:rFonts w:ascii="Garamond" w:hAnsi="Garamond" w:cs="Times New Roman"/>
          <w:sz w:val="24"/>
          <w:szCs w:val="24"/>
        </w:rPr>
        <w:t>redits</w:t>
      </w:r>
      <w:proofErr w:type="spellEnd"/>
      <w:r w:rsidRPr="00300B17">
        <w:rPr>
          <w:rFonts w:ascii="Garamond" w:hAnsi="Garamond" w:cs="Times New Roman"/>
          <w:sz w:val="24"/>
          <w:szCs w:val="24"/>
        </w:rPr>
        <w:t xml:space="preserve"> transferred from other programs or degrees (TR) are considered in </w:t>
      </w:r>
      <w:r>
        <w:rPr>
          <w:rFonts w:ascii="Garamond" w:hAnsi="Garamond" w:cs="Times New Roman"/>
          <w:sz w:val="24"/>
          <w:szCs w:val="24"/>
        </w:rPr>
        <w:t>units</w:t>
      </w:r>
      <w:r w:rsidRPr="00300B17">
        <w:rPr>
          <w:rFonts w:ascii="Garamond" w:hAnsi="Garamond" w:cs="Times New Roman"/>
          <w:sz w:val="24"/>
          <w:szCs w:val="24"/>
        </w:rPr>
        <w:t xml:space="preserve"> attempted but are not used in the calculation of CGPA.</w:t>
      </w:r>
    </w:p>
    <w:p w14:paraId="1707C914" w14:textId="790A367E" w:rsidR="00300B17" w:rsidRPr="009B084D" w:rsidRDefault="00F55284" w:rsidP="009B084D">
      <w:pPr>
        <w:spacing w:before="100" w:beforeAutospacing="1" w:after="0"/>
        <w:rPr>
          <w:rFonts w:ascii="Garamond" w:hAnsi="Garamond" w:cs="Times New Roman"/>
          <w:sz w:val="24"/>
          <w:szCs w:val="24"/>
        </w:rPr>
      </w:pPr>
      <w:r>
        <w:rPr>
          <w:rFonts w:ascii="Garamond" w:hAnsi="Garamond" w:cs="Times New Roman"/>
          <w:b/>
          <w:sz w:val="24"/>
          <w:szCs w:val="24"/>
        </w:rPr>
        <w:t xml:space="preserve">Maximum </w:t>
      </w:r>
      <w:r w:rsidR="00001422" w:rsidRPr="00300B17">
        <w:rPr>
          <w:rFonts w:ascii="Garamond" w:hAnsi="Garamond" w:cs="Times New Roman"/>
          <w:b/>
          <w:sz w:val="24"/>
          <w:szCs w:val="24"/>
        </w:rPr>
        <w:t xml:space="preserve">Timeframe </w:t>
      </w:r>
      <w:r>
        <w:rPr>
          <w:rFonts w:ascii="Garamond" w:hAnsi="Garamond" w:cs="Times New Roman"/>
          <w:b/>
          <w:sz w:val="24"/>
          <w:szCs w:val="24"/>
        </w:rPr>
        <w:t>to Completion (Quantitative Component)</w:t>
      </w:r>
    </w:p>
    <w:p w14:paraId="20B9BCFD" w14:textId="77777777" w:rsidR="008D5DD4" w:rsidRPr="00300B17" w:rsidRDefault="00001422" w:rsidP="00300B17">
      <w:pPr>
        <w:rPr>
          <w:rFonts w:ascii="Garamond" w:eastAsia="Times New Roman" w:hAnsi="Garamond" w:cs="Times New Roman"/>
          <w:sz w:val="24"/>
          <w:szCs w:val="24"/>
          <w:lang w:val="en"/>
        </w:rPr>
      </w:pPr>
      <w:r w:rsidRPr="00300B17">
        <w:rPr>
          <w:rFonts w:ascii="Garamond" w:hAnsi="Garamond" w:cs="Times New Roman"/>
          <w:sz w:val="24"/>
          <w:szCs w:val="24"/>
        </w:rPr>
        <w:t>Undergraduate students must complete their program within 1</w:t>
      </w:r>
      <w:r w:rsidR="005B6A5B" w:rsidRPr="00300B17">
        <w:rPr>
          <w:rFonts w:ascii="Garamond" w:hAnsi="Garamond" w:cs="Times New Roman"/>
          <w:sz w:val="24"/>
          <w:szCs w:val="24"/>
        </w:rPr>
        <w:t xml:space="preserve">50% of </w:t>
      </w:r>
      <w:r w:rsidRPr="00300B17">
        <w:rPr>
          <w:rFonts w:ascii="Garamond" w:hAnsi="Garamond" w:cs="Times New Roman"/>
          <w:sz w:val="24"/>
          <w:szCs w:val="24"/>
        </w:rPr>
        <w:t>Mount Saint Vincent University</w:t>
      </w:r>
      <w:r w:rsidR="00E74A5C" w:rsidRPr="00300B17">
        <w:rPr>
          <w:rFonts w:ascii="Garamond" w:hAnsi="Garamond" w:cs="Times New Roman"/>
          <w:sz w:val="24"/>
          <w:szCs w:val="24"/>
        </w:rPr>
        <w:t xml:space="preserve">’s </w:t>
      </w:r>
      <w:r w:rsidR="005B6A5B" w:rsidRPr="00300B17">
        <w:rPr>
          <w:rFonts w:ascii="Garamond" w:hAnsi="Garamond" w:cs="Times New Roman"/>
          <w:sz w:val="24"/>
          <w:szCs w:val="24"/>
        </w:rPr>
        <w:t>published length of the expected time to complete the program.</w:t>
      </w:r>
    </w:p>
    <w:p w14:paraId="1093FCA5" w14:textId="77777777" w:rsidR="00001422" w:rsidRPr="00300B17" w:rsidRDefault="00001422" w:rsidP="00300B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Graduate students must complete their program within the timeframe published in the Mount Saint </w:t>
      </w:r>
      <w:r w:rsidR="00300B17" w:rsidRPr="00300B17">
        <w:rPr>
          <w:rFonts w:ascii="Garamond" w:eastAsia="Times New Roman" w:hAnsi="Garamond" w:cs="Times New Roman"/>
          <w:sz w:val="24"/>
          <w:szCs w:val="24"/>
          <w:lang w:val="en"/>
        </w:rPr>
        <w:t>V</w:t>
      </w:r>
      <w:r w:rsidRPr="00300B17">
        <w:rPr>
          <w:rFonts w:ascii="Garamond" w:eastAsia="Times New Roman" w:hAnsi="Garamond" w:cs="Times New Roman"/>
          <w:sz w:val="24"/>
          <w:szCs w:val="24"/>
          <w:lang w:val="en"/>
        </w:rPr>
        <w:t>incent University Graduate Calendar.</w:t>
      </w:r>
    </w:p>
    <w:p w14:paraId="18500B67" w14:textId="77777777" w:rsidR="001B3CE4" w:rsidRPr="00300B17" w:rsidRDefault="001B3CE4" w:rsidP="00300B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An undergraduate student is </w:t>
      </w:r>
      <w:r w:rsidR="00300B17">
        <w:rPr>
          <w:rFonts w:ascii="Garamond" w:eastAsia="Times New Roman" w:hAnsi="Garamond" w:cs="Times New Roman"/>
          <w:sz w:val="24"/>
          <w:szCs w:val="24"/>
          <w:lang w:val="en"/>
        </w:rPr>
        <w:t xml:space="preserve">eligible </w:t>
      </w:r>
      <w:r w:rsidRPr="00300B17">
        <w:rPr>
          <w:rFonts w:ascii="Garamond" w:eastAsia="Times New Roman" w:hAnsi="Garamond" w:cs="Times New Roman"/>
          <w:sz w:val="24"/>
          <w:szCs w:val="24"/>
          <w:lang w:val="en"/>
        </w:rPr>
        <w:t xml:space="preserve">to receive aid for 150% of the </w:t>
      </w:r>
      <w:r w:rsidR="00300B17">
        <w:rPr>
          <w:rFonts w:ascii="Garamond" w:eastAsia="Times New Roman" w:hAnsi="Garamond" w:cs="Times New Roman"/>
          <w:sz w:val="24"/>
          <w:szCs w:val="24"/>
          <w:lang w:val="en"/>
        </w:rPr>
        <w:t>published program length</w:t>
      </w:r>
    </w:p>
    <w:p w14:paraId="7954E35A" w14:textId="2B0B43BA" w:rsidR="001B3CE4" w:rsidRPr="00300B17" w:rsidRDefault="001B3CE4" w:rsidP="00304E17">
      <w:pPr>
        <w:spacing w:after="0" w:line="240" w:lineRule="auto"/>
        <w:ind w:left="870" w:hanging="360"/>
        <w:rPr>
          <w:rFonts w:ascii="Garamond" w:eastAsia="Times New Roman" w:hAnsi="Garamond" w:cs="Times New Roman"/>
          <w:sz w:val="24"/>
          <w:szCs w:val="24"/>
          <w:lang w:val="en"/>
        </w:rPr>
      </w:pPr>
      <w:proofErr w:type="gramStart"/>
      <w:r w:rsidRPr="00300B17">
        <w:rPr>
          <w:rFonts w:ascii="Garamond" w:eastAsia="Times New Roman" w:hAnsi="Garamond" w:cs="Times New Roman"/>
          <w:sz w:val="24"/>
          <w:szCs w:val="24"/>
          <w:lang w:val="en"/>
        </w:rPr>
        <w:t>3 year</w:t>
      </w:r>
      <w:proofErr w:type="gramEnd"/>
      <w:r w:rsidRPr="00300B17">
        <w:rPr>
          <w:rFonts w:ascii="Garamond" w:eastAsia="Times New Roman" w:hAnsi="Garamond" w:cs="Times New Roman"/>
          <w:sz w:val="24"/>
          <w:szCs w:val="24"/>
          <w:lang w:val="en"/>
        </w:rPr>
        <w:t xml:space="preserve"> degree </w:t>
      </w:r>
      <w:r w:rsidR="00E8656B">
        <w:rPr>
          <w:rFonts w:ascii="Garamond" w:eastAsia="Times New Roman" w:hAnsi="Garamond" w:cs="Times New Roman"/>
          <w:sz w:val="24"/>
          <w:szCs w:val="24"/>
          <w:lang w:val="en"/>
        </w:rPr>
        <w:t>(15 units)</w:t>
      </w:r>
      <w:r w:rsidR="00675776">
        <w:rPr>
          <w:rFonts w:ascii="Garamond" w:eastAsia="Times New Roman" w:hAnsi="Garamond" w:cs="Times New Roman"/>
          <w:sz w:val="24"/>
          <w:szCs w:val="24"/>
          <w:lang w:val="en"/>
        </w:rPr>
        <w:t xml:space="preserve"> </w:t>
      </w:r>
      <w:r w:rsidRPr="00300B17">
        <w:rPr>
          <w:rFonts w:ascii="Garamond" w:eastAsia="Times New Roman" w:hAnsi="Garamond" w:cs="Times New Roman"/>
          <w:sz w:val="24"/>
          <w:szCs w:val="24"/>
          <w:lang w:val="en"/>
        </w:rPr>
        <w:t>- eligible for aid for 4.5 years</w:t>
      </w:r>
      <w:r w:rsidR="00675776">
        <w:rPr>
          <w:rFonts w:ascii="Garamond" w:eastAsia="Times New Roman" w:hAnsi="Garamond" w:cs="Times New Roman"/>
          <w:sz w:val="24"/>
          <w:szCs w:val="24"/>
          <w:lang w:val="en"/>
        </w:rPr>
        <w:t xml:space="preserve"> – maximum 22.5 attempted units</w:t>
      </w:r>
    </w:p>
    <w:p w14:paraId="48A2E49D" w14:textId="7D6D6FAC" w:rsidR="001B3CE4" w:rsidRPr="00300B17" w:rsidRDefault="001B3CE4" w:rsidP="00304E17">
      <w:pPr>
        <w:spacing w:after="0" w:line="240" w:lineRule="auto"/>
        <w:ind w:left="870" w:hanging="360"/>
        <w:rPr>
          <w:rFonts w:ascii="Garamond" w:eastAsia="Times New Roman" w:hAnsi="Garamond" w:cs="Times New Roman"/>
          <w:sz w:val="24"/>
          <w:szCs w:val="24"/>
          <w:lang w:val="en"/>
        </w:rPr>
      </w:pPr>
      <w:proofErr w:type="gramStart"/>
      <w:r w:rsidRPr="00300B17">
        <w:rPr>
          <w:rFonts w:ascii="Garamond" w:eastAsia="Times New Roman" w:hAnsi="Garamond" w:cs="Times New Roman"/>
          <w:sz w:val="24"/>
          <w:szCs w:val="24"/>
          <w:lang w:val="en"/>
        </w:rPr>
        <w:t>4 year</w:t>
      </w:r>
      <w:proofErr w:type="gramEnd"/>
      <w:r w:rsidRPr="00300B17">
        <w:rPr>
          <w:rFonts w:ascii="Garamond" w:eastAsia="Times New Roman" w:hAnsi="Garamond" w:cs="Times New Roman"/>
          <w:sz w:val="24"/>
          <w:szCs w:val="24"/>
          <w:lang w:val="en"/>
        </w:rPr>
        <w:t xml:space="preserve"> degree </w:t>
      </w:r>
      <w:r w:rsidR="00E8656B">
        <w:rPr>
          <w:rFonts w:ascii="Garamond" w:eastAsia="Times New Roman" w:hAnsi="Garamond" w:cs="Times New Roman"/>
          <w:sz w:val="24"/>
          <w:szCs w:val="24"/>
          <w:lang w:val="en"/>
        </w:rPr>
        <w:t>(20 units</w:t>
      </w:r>
      <w:r w:rsidR="00675776">
        <w:rPr>
          <w:rFonts w:ascii="Garamond" w:eastAsia="Times New Roman" w:hAnsi="Garamond" w:cs="Times New Roman"/>
          <w:sz w:val="24"/>
          <w:szCs w:val="24"/>
          <w:lang w:val="en"/>
        </w:rPr>
        <w:t>) -</w:t>
      </w:r>
      <w:r w:rsidRPr="00300B17">
        <w:rPr>
          <w:rFonts w:ascii="Garamond" w:eastAsia="Times New Roman" w:hAnsi="Garamond" w:cs="Times New Roman"/>
          <w:sz w:val="24"/>
          <w:szCs w:val="24"/>
          <w:lang w:val="en"/>
        </w:rPr>
        <w:t xml:space="preserve"> </w:t>
      </w:r>
      <w:r w:rsidRPr="00300B17">
        <w:rPr>
          <w:rFonts w:ascii="Garamond" w:eastAsia="Times New Roman" w:hAnsi="Garamond" w:cs="Times New Roman"/>
          <w:sz w:val="24"/>
          <w:szCs w:val="24"/>
          <w:lang w:val="en"/>
        </w:rPr>
        <w:tab/>
        <w:t>eligible for aid for 6 years</w:t>
      </w:r>
      <w:r w:rsidR="00675776">
        <w:rPr>
          <w:rFonts w:ascii="Garamond" w:eastAsia="Times New Roman" w:hAnsi="Garamond" w:cs="Times New Roman"/>
          <w:sz w:val="24"/>
          <w:szCs w:val="24"/>
          <w:lang w:val="en"/>
        </w:rPr>
        <w:t xml:space="preserve"> – maximum 30 attempted units</w:t>
      </w:r>
    </w:p>
    <w:p w14:paraId="2C292AAF" w14:textId="2A8C7DF6" w:rsidR="001B3CE4" w:rsidRDefault="001B3CE4" w:rsidP="00304E17">
      <w:pPr>
        <w:spacing w:after="0" w:line="240" w:lineRule="auto"/>
        <w:ind w:left="870" w:hanging="360"/>
        <w:rPr>
          <w:rFonts w:ascii="Garamond" w:eastAsia="Times New Roman" w:hAnsi="Garamond" w:cs="Times New Roman"/>
          <w:sz w:val="24"/>
          <w:szCs w:val="24"/>
          <w:lang w:val="en"/>
        </w:rPr>
      </w:pPr>
      <w:proofErr w:type="gramStart"/>
      <w:r w:rsidRPr="00300B17">
        <w:rPr>
          <w:rFonts w:ascii="Garamond" w:eastAsia="Times New Roman" w:hAnsi="Garamond" w:cs="Times New Roman"/>
          <w:sz w:val="24"/>
          <w:szCs w:val="24"/>
          <w:lang w:val="en"/>
        </w:rPr>
        <w:t>5 year</w:t>
      </w:r>
      <w:proofErr w:type="gramEnd"/>
      <w:r w:rsidRPr="00300B17">
        <w:rPr>
          <w:rFonts w:ascii="Garamond" w:eastAsia="Times New Roman" w:hAnsi="Garamond" w:cs="Times New Roman"/>
          <w:sz w:val="24"/>
          <w:szCs w:val="24"/>
          <w:lang w:val="en"/>
        </w:rPr>
        <w:t xml:space="preserve"> degree</w:t>
      </w:r>
      <w:r w:rsidR="00E8656B">
        <w:rPr>
          <w:rFonts w:ascii="Garamond" w:eastAsia="Times New Roman" w:hAnsi="Garamond" w:cs="Times New Roman"/>
          <w:sz w:val="24"/>
          <w:szCs w:val="24"/>
          <w:lang w:val="en"/>
        </w:rPr>
        <w:t xml:space="preserve"> (23 units)</w:t>
      </w:r>
      <w:r w:rsidR="00675776">
        <w:rPr>
          <w:rFonts w:ascii="Garamond" w:eastAsia="Times New Roman" w:hAnsi="Garamond" w:cs="Times New Roman"/>
          <w:sz w:val="24"/>
          <w:szCs w:val="24"/>
          <w:lang w:val="en"/>
        </w:rPr>
        <w:t xml:space="preserve"> </w:t>
      </w:r>
      <w:r w:rsidRPr="00300B17">
        <w:rPr>
          <w:rFonts w:ascii="Garamond" w:eastAsia="Times New Roman" w:hAnsi="Garamond" w:cs="Times New Roman"/>
          <w:sz w:val="24"/>
          <w:szCs w:val="24"/>
          <w:lang w:val="en"/>
        </w:rPr>
        <w:t>-</w:t>
      </w:r>
      <w:r w:rsidRPr="00300B17">
        <w:rPr>
          <w:rFonts w:ascii="Garamond" w:eastAsia="Times New Roman" w:hAnsi="Garamond" w:cs="Times New Roman"/>
          <w:sz w:val="24"/>
          <w:szCs w:val="24"/>
          <w:lang w:val="en"/>
        </w:rPr>
        <w:tab/>
        <w:t>eligible for aid for 7.5 years</w:t>
      </w:r>
      <w:r w:rsidR="00675776">
        <w:rPr>
          <w:rFonts w:ascii="Garamond" w:eastAsia="Times New Roman" w:hAnsi="Garamond" w:cs="Times New Roman"/>
          <w:sz w:val="24"/>
          <w:szCs w:val="24"/>
          <w:lang w:val="en"/>
        </w:rPr>
        <w:t xml:space="preserve"> – maximum 34.5 attempted units</w:t>
      </w:r>
    </w:p>
    <w:p w14:paraId="46C647AF" w14:textId="3FB8E47C" w:rsidR="00E8656B" w:rsidRDefault="00E8656B" w:rsidP="00E8656B">
      <w:pPr>
        <w:spacing w:after="0" w:line="240" w:lineRule="auto"/>
        <w:rPr>
          <w:rFonts w:ascii="Garamond" w:eastAsia="Times New Roman" w:hAnsi="Garamond" w:cs="Times New Roman"/>
          <w:sz w:val="24"/>
          <w:szCs w:val="24"/>
          <w:lang w:val="en"/>
        </w:rPr>
      </w:pPr>
    </w:p>
    <w:p w14:paraId="33222FB5" w14:textId="22A6CB57" w:rsidR="00E8656B" w:rsidRDefault="00E8656B" w:rsidP="00E8656B">
      <w:pPr>
        <w:spacing w:after="0" w:line="240" w:lineRule="auto"/>
        <w:rPr>
          <w:rFonts w:ascii="Garamond" w:eastAsia="Times New Roman" w:hAnsi="Garamond" w:cs="Times New Roman"/>
          <w:sz w:val="24"/>
          <w:szCs w:val="24"/>
          <w:lang w:val="en"/>
        </w:rPr>
      </w:pPr>
      <w:r>
        <w:rPr>
          <w:rFonts w:ascii="Garamond" w:eastAsia="Times New Roman" w:hAnsi="Garamond" w:cs="Times New Roman"/>
          <w:sz w:val="24"/>
          <w:szCs w:val="24"/>
          <w:lang w:val="en"/>
        </w:rPr>
        <w:t>E</w:t>
      </w:r>
      <w:r w:rsidR="009B084D">
        <w:rPr>
          <w:rFonts w:ascii="Garamond" w:eastAsia="Times New Roman" w:hAnsi="Garamond" w:cs="Times New Roman"/>
          <w:sz w:val="24"/>
          <w:szCs w:val="24"/>
          <w:lang w:val="en"/>
        </w:rPr>
        <w:t>x</w:t>
      </w:r>
      <w:r>
        <w:rPr>
          <w:rFonts w:ascii="Garamond" w:eastAsia="Times New Roman" w:hAnsi="Garamond" w:cs="Times New Roman"/>
          <w:sz w:val="24"/>
          <w:szCs w:val="24"/>
          <w:lang w:val="en"/>
        </w:rPr>
        <w:t>amples of 67% Completion Rate Chart for Successful Progression toward a Degree</w:t>
      </w:r>
    </w:p>
    <w:p w14:paraId="3C354A74" w14:textId="637620D3" w:rsidR="00E8656B" w:rsidRDefault="00E8656B" w:rsidP="00E8656B">
      <w:pPr>
        <w:spacing w:after="0" w:line="240" w:lineRule="auto"/>
        <w:rPr>
          <w:rFonts w:ascii="Garamond" w:eastAsia="Times New Roman" w:hAnsi="Garamond" w:cs="Times New Roman"/>
          <w:sz w:val="24"/>
          <w:szCs w:val="24"/>
          <w:lang w:val="en"/>
        </w:rPr>
      </w:pPr>
    </w:p>
    <w:tbl>
      <w:tblPr>
        <w:tblStyle w:val="TableGrid"/>
        <w:tblW w:w="0" w:type="auto"/>
        <w:tblLook w:val="04A0" w:firstRow="1" w:lastRow="0" w:firstColumn="1" w:lastColumn="0" w:noHBand="0" w:noVBand="1"/>
      </w:tblPr>
      <w:tblGrid>
        <w:gridCol w:w="2337"/>
        <w:gridCol w:w="2337"/>
        <w:gridCol w:w="2338"/>
        <w:gridCol w:w="2338"/>
      </w:tblGrid>
      <w:tr w:rsidR="00E8656B" w14:paraId="1F9A0E47" w14:textId="77777777" w:rsidTr="00E8656B">
        <w:tc>
          <w:tcPr>
            <w:tcW w:w="2337" w:type="dxa"/>
          </w:tcPr>
          <w:p w14:paraId="58577516" w14:textId="370EE373"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 xml:space="preserve">Units </w:t>
            </w:r>
            <w:r w:rsidR="00E8656B">
              <w:rPr>
                <w:rFonts w:ascii="Garamond" w:eastAsia="Times New Roman" w:hAnsi="Garamond" w:cs="Times New Roman"/>
                <w:sz w:val="24"/>
                <w:szCs w:val="24"/>
                <w:lang w:val="en"/>
              </w:rPr>
              <w:t>attempted</w:t>
            </w:r>
          </w:p>
        </w:tc>
        <w:tc>
          <w:tcPr>
            <w:tcW w:w="2337" w:type="dxa"/>
          </w:tcPr>
          <w:p w14:paraId="2E33A9FB" w14:textId="08F16638" w:rsidR="00E8656B" w:rsidRDefault="00E8656B"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 xml:space="preserve">Completed </w:t>
            </w:r>
            <w:r w:rsidR="00713D82">
              <w:rPr>
                <w:rFonts w:ascii="Garamond" w:eastAsia="Times New Roman" w:hAnsi="Garamond" w:cs="Times New Roman"/>
                <w:sz w:val="24"/>
                <w:szCs w:val="24"/>
                <w:lang w:val="en"/>
              </w:rPr>
              <w:t xml:space="preserve">units </w:t>
            </w:r>
            <w:r>
              <w:rPr>
                <w:rFonts w:ascii="Garamond" w:eastAsia="Times New Roman" w:hAnsi="Garamond" w:cs="Times New Roman"/>
                <w:sz w:val="24"/>
                <w:szCs w:val="24"/>
                <w:lang w:val="en"/>
              </w:rPr>
              <w:t>(passed</w:t>
            </w:r>
            <w:r w:rsidR="00713D82">
              <w:rPr>
                <w:rFonts w:ascii="Garamond" w:eastAsia="Times New Roman" w:hAnsi="Garamond" w:cs="Times New Roman"/>
                <w:sz w:val="24"/>
                <w:szCs w:val="24"/>
                <w:lang w:val="en"/>
              </w:rPr>
              <w:t>)</w:t>
            </w:r>
          </w:p>
        </w:tc>
        <w:tc>
          <w:tcPr>
            <w:tcW w:w="2338" w:type="dxa"/>
          </w:tcPr>
          <w:p w14:paraId="0F0CC59F" w14:textId="7FBA0AAC" w:rsidR="00E8656B" w:rsidRDefault="009B084D"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Units attempted</w:t>
            </w:r>
          </w:p>
        </w:tc>
        <w:tc>
          <w:tcPr>
            <w:tcW w:w="2338" w:type="dxa"/>
          </w:tcPr>
          <w:p w14:paraId="78062A84" w14:textId="1231FC40" w:rsidR="00E8656B" w:rsidRDefault="009B084D"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Completed units (passed)</w:t>
            </w:r>
          </w:p>
        </w:tc>
      </w:tr>
      <w:tr w:rsidR="00E8656B" w14:paraId="45667E48" w14:textId="77777777" w:rsidTr="00E8656B">
        <w:tc>
          <w:tcPr>
            <w:tcW w:w="2337" w:type="dxa"/>
          </w:tcPr>
          <w:p w14:paraId="74228B3D" w14:textId="08BA8CB4"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5.0</w:t>
            </w:r>
          </w:p>
        </w:tc>
        <w:tc>
          <w:tcPr>
            <w:tcW w:w="2337" w:type="dxa"/>
          </w:tcPr>
          <w:p w14:paraId="6C448E01" w14:textId="02995DFD"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3.5</w:t>
            </w:r>
          </w:p>
        </w:tc>
        <w:tc>
          <w:tcPr>
            <w:tcW w:w="2338" w:type="dxa"/>
          </w:tcPr>
          <w:p w14:paraId="1D08BD78" w14:textId="55E76E9B"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2.5</w:t>
            </w:r>
          </w:p>
        </w:tc>
        <w:tc>
          <w:tcPr>
            <w:tcW w:w="2338" w:type="dxa"/>
          </w:tcPr>
          <w:p w14:paraId="735956DE" w14:textId="554D4B08" w:rsidR="00E8656B" w:rsidRDefault="009B084D"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2.0</w:t>
            </w:r>
          </w:p>
        </w:tc>
      </w:tr>
      <w:tr w:rsidR="00E8656B" w14:paraId="7C6AEE44" w14:textId="77777777" w:rsidTr="00E8656B">
        <w:tc>
          <w:tcPr>
            <w:tcW w:w="2337" w:type="dxa"/>
          </w:tcPr>
          <w:p w14:paraId="08075EE9" w14:textId="07082D89"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4.5</w:t>
            </w:r>
          </w:p>
        </w:tc>
        <w:tc>
          <w:tcPr>
            <w:tcW w:w="2337" w:type="dxa"/>
          </w:tcPr>
          <w:p w14:paraId="1DD0C074" w14:textId="37D720E5"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3.5</w:t>
            </w:r>
          </w:p>
        </w:tc>
        <w:tc>
          <w:tcPr>
            <w:tcW w:w="2338" w:type="dxa"/>
          </w:tcPr>
          <w:p w14:paraId="6C73D145" w14:textId="2F6E390D"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2.0</w:t>
            </w:r>
          </w:p>
        </w:tc>
        <w:tc>
          <w:tcPr>
            <w:tcW w:w="2338" w:type="dxa"/>
          </w:tcPr>
          <w:p w14:paraId="32302793" w14:textId="48EF13FB"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1.5</w:t>
            </w:r>
          </w:p>
        </w:tc>
      </w:tr>
      <w:tr w:rsidR="00E8656B" w14:paraId="2067E83C" w14:textId="77777777" w:rsidTr="00E8656B">
        <w:tc>
          <w:tcPr>
            <w:tcW w:w="2337" w:type="dxa"/>
          </w:tcPr>
          <w:p w14:paraId="2D43ABED" w14:textId="2828C34C"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4.0</w:t>
            </w:r>
          </w:p>
        </w:tc>
        <w:tc>
          <w:tcPr>
            <w:tcW w:w="2337" w:type="dxa"/>
          </w:tcPr>
          <w:p w14:paraId="18277B71" w14:textId="1C0AA09F" w:rsidR="00E8656B" w:rsidRDefault="009B084D"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3</w:t>
            </w:r>
            <w:r w:rsidR="00713D82">
              <w:rPr>
                <w:rFonts w:ascii="Garamond" w:eastAsia="Times New Roman" w:hAnsi="Garamond" w:cs="Times New Roman"/>
                <w:sz w:val="24"/>
                <w:szCs w:val="24"/>
                <w:lang w:val="en"/>
              </w:rPr>
              <w:t>.</w:t>
            </w:r>
            <w:r>
              <w:rPr>
                <w:rFonts w:ascii="Garamond" w:eastAsia="Times New Roman" w:hAnsi="Garamond" w:cs="Times New Roman"/>
                <w:sz w:val="24"/>
                <w:szCs w:val="24"/>
                <w:lang w:val="en"/>
              </w:rPr>
              <w:t>0</w:t>
            </w:r>
          </w:p>
        </w:tc>
        <w:tc>
          <w:tcPr>
            <w:tcW w:w="2338" w:type="dxa"/>
          </w:tcPr>
          <w:p w14:paraId="3DB75772" w14:textId="50F3A129"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1.5</w:t>
            </w:r>
          </w:p>
        </w:tc>
        <w:tc>
          <w:tcPr>
            <w:tcW w:w="2338" w:type="dxa"/>
          </w:tcPr>
          <w:p w14:paraId="3DA28F80" w14:textId="2599A103" w:rsidR="00E8656B"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1.0</w:t>
            </w:r>
          </w:p>
        </w:tc>
      </w:tr>
      <w:tr w:rsidR="00713D82" w14:paraId="47E3FE32" w14:textId="77777777" w:rsidTr="00E8656B">
        <w:tc>
          <w:tcPr>
            <w:tcW w:w="2337" w:type="dxa"/>
          </w:tcPr>
          <w:p w14:paraId="5BD2C5BA" w14:textId="3CB013A9"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3.5</w:t>
            </w:r>
          </w:p>
        </w:tc>
        <w:tc>
          <w:tcPr>
            <w:tcW w:w="2337" w:type="dxa"/>
          </w:tcPr>
          <w:p w14:paraId="3FF85E91" w14:textId="1CCAB538"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2.5</w:t>
            </w:r>
          </w:p>
        </w:tc>
        <w:tc>
          <w:tcPr>
            <w:tcW w:w="2338" w:type="dxa"/>
          </w:tcPr>
          <w:p w14:paraId="3650AD07" w14:textId="4BF932A5"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1.0</w:t>
            </w:r>
          </w:p>
        </w:tc>
        <w:tc>
          <w:tcPr>
            <w:tcW w:w="2338" w:type="dxa"/>
          </w:tcPr>
          <w:p w14:paraId="500AC2E7" w14:textId="47AFADCE"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1.0</w:t>
            </w:r>
          </w:p>
        </w:tc>
      </w:tr>
      <w:tr w:rsidR="00713D82" w14:paraId="47532752" w14:textId="77777777" w:rsidTr="00E8656B">
        <w:tc>
          <w:tcPr>
            <w:tcW w:w="2337" w:type="dxa"/>
          </w:tcPr>
          <w:p w14:paraId="5718A013" w14:textId="159F41D0"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3.0</w:t>
            </w:r>
          </w:p>
        </w:tc>
        <w:tc>
          <w:tcPr>
            <w:tcW w:w="2337" w:type="dxa"/>
          </w:tcPr>
          <w:p w14:paraId="66C1DDD4" w14:textId="0A858DF2"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2.0</w:t>
            </w:r>
          </w:p>
        </w:tc>
        <w:tc>
          <w:tcPr>
            <w:tcW w:w="2338" w:type="dxa"/>
          </w:tcPr>
          <w:p w14:paraId="3668018E" w14:textId="7B5D8601"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.5</w:t>
            </w:r>
          </w:p>
        </w:tc>
        <w:tc>
          <w:tcPr>
            <w:tcW w:w="2338" w:type="dxa"/>
          </w:tcPr>
          <w:p w14:paraId="4F1081DF" w14:textId="04F5178D" w:rsidR="00713D82" w:rsidRDefault="00713D82" w:rsidP="00E8656B">
            <w:pPr>
              <w:rPr>
                <w:rFonts w:ascii="Garamond" w:eastAsia="Times New Roman" w:hAnsi="Garamond" w:cs="Times New Roman"/>
                <w:sz w:val="24"/>
                <w:szCs w:val="24"/>
                <w:lang w:val="en"/>
              </w:rPr>
            </w:pPr>
            <w:r>
              <w:rPr>
                <w:rFonts w:ascii="Garamond" w:eastAsia="Times New Roman" w:hAnsi="Garamond" w:cs="Times New Roman"/>
                <w:sz w:val="24"/>
                <w:szCs w:val="24"/>
                <w:lang w:val="en"/>
              </w:rPr>
              <w:t>.5</w:t>
            </w:r>
          </w:p>
        </w:tc>
      </w:tr>
    </w:tbl>
    <w:p w14:paraId="44B87B02" w14:textId="77777777" w:rsidR="00E8656B" w:rsidRDefault="00E8656B" w:rsidP="00E8656B">
      <w:pPr>
        <w:spacing w:after="0" w:line="240" w:lineRule="auto"/>
        <w:rPr>
          <w:rFonts w:ascii="Garamond" w:eastAsia="Times New Roman" w:hAnsi="Garamond" w:cs="Times New Roman"/>
          <w:sz w:val="24"/>
          <w:szCs w:val="24"/>
          <w:lang w:val="en"/>
        </w:rPr>
      </w:pPr>
    </w:p>
    <w:p w14:paraId="385FA866" w14:textId="77777777" w:rsidR="00B148D8" w:rsidRPr="00300B17" w:rsidRDefault="00B148D8" w:rsidP="00304E17">
      <w:pPr>
        <w:spacing w:after="0" w:line="240" w:lineRule="auto"/>
        <w:rPr>
          <w:rFonts w:ascii="Garamond" w:eastAsia="Times New Roman" w:hAnsi="Garamond" w:cs="Times New Roman"/>
          <w:sz w:val="24"/>
          <w:szCs w:val="24"/>
          <w:lang w:val="en"/>
        </w:rPr>
      </w:pPr>
    </w:p>
    <w:p w14:paraId="48CC2F64" w14:textId="77777777" w:rsidR="001B3CE4" w:rsidRPr="00300B17" w:rsidRDefault="001B3CE4"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lastRenderedPageBreak/>
        <w:t>Students should be advised that, while federal eligibility may allow them to continue, individual academic progress rules and student visa restrictions may impact the student</w:t>
      </w:r>
      <w:r w:rsidR="00946516" w:rsidRPr="00300B17">
        <w:rPr>
          <w:rFonts w:ascii="Garamond" w:eastAsia="Times New Roman" w:hAnsi="Garamond" w:cs="Times New Roman"/>
          <w:sz w:val="24"/>
          <w:szCs w:val="24"/>
          <w:lang w:val="en"/>
        </w:rPr>
        <w:t>’</w:t>
      </w:r>
      <w:r w:rsidRPr="00300B17">
        <w:rPr>
          <w:rFonts w:ascii="Garamond" w:eastAsia="Times New Roman" w:hAnsi="Garamond" w:cs="Times New Roman"/>
          <w:sz w:val="24"/>
          <w:szCs w:val="24"/>
          <w:lang w:val="en"/>
        </w:rPr>
        <w:t>s ability to continue in their program.</w:t>
      </w:r>
    </w:p>
    <w:p w14:paraId="5C42DD1A" w14:textId="77777777" w:rsidR="00B148D8" w:rsidRPr="00300B17" w:rsidRDefault="00B148D8" w:rsidP="00304E17">
      <w:pPr>
        <w:spacing w:after="0" w:line="240" w:lineRule="auto"/>
        <w:rPr>
          <w:rFonts w:ascii="Garamond" w:eastAsia="Times New Roman" w:hAnsi="Garamond" w:cs="Times New Roman"/>
          <w:sz w:val="24"/>
          <w:szCs w:val="24"/>
          <w:lang w:val="en"/>
        </w:rPr>
      </w:pPr>
    </w:p>
    <w:p w14:paraId="0917F0CC" w14:textId="77777777" w:rsidR="00367F66" w:rsidRPr="00300B17" w:rsidRDefault="001B3CE4"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Non-credit courses will not be counted in assessing full-time </w:t>
      </w:r>
      <w:r w:rsidR="00E74A5C" w:rsidRPr="00300B17">
        <w:rPr>
          <w:rFonts w:ascii="Garamond" w:eastAsia="Times New Roman" w:hAnsi="Garamond" w:cs="Times New Roman"/>
          <w:sz w:val="24"/>
          <w:szCs w:val="24"/>
          <w:lang w:val="en"/>
        </w:rPr>
        <w:t>status</w:t>
      </w:r>
      <w:r w:rsidR="00946516" w:rsidRPr="00300B17">
        <w:rPr>
          <w:rFonts w:ascii="Garamond" w:eastAsia="Times New Roman" w:hAnsi="Garamond" w:cs="Times New Roman"/>
          <w:sz w:val="24"/>
          <w:szCs w:val="24"/>
          <w:lang w:val="en"/>
        </w:rPr>
        <w:t>; and distance courses are not permitted for U.S. loan purposes</w:t>
      </w:r>
      <w:r w:rsidRPr="00300B17">
        <w:rPr>
          <w:rFonts w:ascii="Garamond" w:eastAsia="Times New Roman" w:hAnsi="Garamond" w:cs="Times New Roman"/>
          <w:sz w:val="24"/>
          <w:szCs w:val="24"/>
          <w:lang w:val="en"/>
        </w:rPr>
        <w:t>.</w:t>
      </w:r>
    </w:p>
    <w:p w14:paraId="0B18E4A8" w14:textId="77777777" w:rsidR="006A52EE" w:rsidRDefault="006A52EE" w:rsidP="006A52EE">
      <w:pPr>
        <w:spacing w:after="0"/>
        <w:rPr>
          <w:rFonts w:ascii="Garamond" w:eastAsia="Times New Roman" w:hAnsi="Garamond" w:cs="Times New Roman"/>
          <w:sz w:val="24"/>
          <w:szCs w:val="24"/>
          <w:lang w:val="en"/>
        </w:rPr>
      </w:pPr>
    </w:p>
    <w:p w14:paraId="5508B22F" w14:textId="77777777" w:rsidR="00001422" w:rsidRPr="00300B17" w:rsidRDefault="00001422" w:rsidP="00001422">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Undergraduate students with insufficient time to complete their program within 150% of the published </w:t>
      </w:r>
      <w:r w:rsidR="00300B17">
        <w:rPr>
          <w:rFonts w:ascii="Garamond" w:hAnsi="Garamond" w:cs="Times New Roman"/>
          <w:sz w:val="24"/>
          <w:szCs w:val="24"/>
        </w:rPr>
        <w:t xml:space="preserve">program length </w:t>
      </w:r>
      <w:r w:rsidRPr="00300B17">
        <w:rPr>
          <w:rFonts w:ascii="Garamond" w:hAnsi="Garamond" w:cs="Times New Roman"/>
          <w:sz w:val="24"/>
          <w:szCs w:val="24"/>
        </w:rPr>
        <w:t xml:space="preserve">and </w:t>
      </w:r>
      <w:r w:rsidR="00E74A5C" w:rsidRPr="00300B17">
        <w:rPr>
          <w:rFonts w:ascii="Garamond" w:hAnsi="Garamond" w:cs="Times New Roman"/>
          <w:sz w:val="24"/>
          <w:szCs w:val="24"/>
        </w:rPr>
        <w:t>G</w:t>
      </w:r>
      <w:r w:rsidRPr="00300B17">
        <w:rPr>
          <w:rFonts w:ascii="Garamond" w:hAnsi="Garamond" w:cs="Times New Roman"/>
          <w:sz w:val="24"/>
          <w:szCs w:val="24"/>
        </w:rPr>
        <w:t>r</w:t>
      </w:r>
      <w:proofErr w:type="spellStart"/>
      <w:r w:rsidRPr="00300B17">
        <w:rPr>
          <w:rFonts w:ascii="Garamond" w:eastAsia="Times New Roman" w:hAnsi="Garamond" w:cs="Times New Roman"/>
          <w:sz w:val="24"/>
          <w:szCs w:val="24"/>
          <w:lang w:val="en"/>
        </w:rPr>
        <w:t>aduate</w:t>
      </w:r>
      <w:proofErr w:type="spellEnd"/>
      <w:r w:rsidRPr="00300B17">
        <w:rPr>
          <w:rFonts w:ascii="Garamond" w:eastAsia="Times New Roman" w:hAnsi="Garamond" w:cs="Times New Roman"/>
          <w:sz w:val="24"/>
          <w:szCs w:val="24"/>
          <w:lang w:val="en"/>
        </w:rPr>
        <w:t xml:space="preserve"> students with insuffic</w:t>
      </w:r>
      <w:r w:rsidR="00300B17" w:rsidRPr="00300B17">
        <w:rPr>
          <w:rFonts w:ascii="Garamond" w:eastAsia="Times New Roman" w:hAnsi="Garamond" w:cs="Times New Roman"/>
          <w:sz w:val="24"/>
          <w:szCs w:val="24"/>
          <w:lang w:val="en"/>
        </w:rPr>
        <w:t>i</w:t>
      </w:r>
      <w:r w:rsidRPr="00300B17">
        <w:rPr>
          <w:rFonts w:ascii="Garamond" w:eastAsia="Times New Roman" w:hAnsi="Garamond" w:cs="Times New Roman"/>
          <w:sz w:val="24"/>
          <w:szCs w:val="24"/>
          <w:lang w:val="en"/>
        </w:rPr>
        <w:t xml:space="preserve">ent time to complete their program </w:t>
      </w:r>
      <w:r w:rsidR="00300B17">
        <w:rPr>
          <w:rFonts w:ascii="Garamond" w:eastAsia="Times New Roman" w:hAnsi="Garamond" w:cs="Times New Roman"/>
          <w:sz w:val="24"/>
          <w:szCs w:val="24"/>
          <w:lang w:val="en"/>
        </w:rPr>
        <w:t xml:space="preserve">within the Graduate Calendar’s </w:t>
      </w:r>
      <w:r w:rsidRPr="00300B17">
        <w:rPr>
          <w:rFonts w:ascii="Garamond" w:eastAsia="Times New Roman" w:hAnsi="Garamond" w:cs="Times New Roman"/>
          <w:sz w:val="24"/>
          <w:szCs w:val="24"/>
          <w:lang w:val="en"/>
        </w:rPr>
        <w:t xml:space="preserve">published </w:t>
      </w:r>
      <w:r w:rsidR="00300B17">
        <w:rPr>
          <w:rFonts w:ascii="Garamond" w:eastAsia="Times New Roman" w:hAnsi="Garamond" w:cs="Times New Roman"/>
          <w:sz w:val="24"/>
          <w:szCs w:val="24"/>
          <w:lang w:val="en"/>
        </w:rPr>
        <w:t>length</w:t>
      </w:r>
      <w:r w:rsidR="00E74A5C" w:rsidRPr="00300B17">
        <w:rPr>
          <w:rFonts w:ascii="Garamond" w:eastAsia="Times New Roman" w:hAnsi="Garamond" w:cs="Times New Roman"/>
          <w:sz w:val="24"/>
          <w:szCs w:val="24"/>
          <w:lang w:val="en"/>
        </w:rPr>
        <w:t>,</w:t>
      </w:r>
      <w:r w:rsidRPr="00300B17">
        <w:rPr>
          <w:rFonts w:ascii="Garamond" w:eastAsia="Times New Roman" w:hAnsi="Garamond" w:cs="Times New Roman"/>
          <w:sz w:val="24"/>
          <w:szCs w:val="24"/>
          <w:lang w:val="en"/>
        </w:rPr>
        <w:t xml:space="preserve"> are consider</w:t>
      </w:r>
      <w:r w:rsidR="00BD68BD" w:rsidRPr="00300B17">
        <w:rPr>
          <w:rFonts w:ascii="Garamond" w:eastAsia="Times New Roman" w:hAnsi="Garamond" w:cs="Times New Roman"/>
          <w:sz w:val="24"/>
          <w:szCs w:val="24"/>
          <w:lang w:val="en"/>
        </w:rPr>
        <w:t>e</w:t>
      </w:r>
      <w:r w:rsidRPr="00300B17">
        <w:rPr>
          <w:rFonts w:ascii="Garamond" w:eastAsia="Times New Roman" w:hAnsi="Garamond" w:cs="Times New Roman"/>
          <w:sz w:val="24"/>
          <w:szCs w:val="24"/>
          <w:lang w:val="en"/>
        </w:rPr>
        <w:t xml:space="preserve">d to have </w:t>
      </w:r>
      <w:r w:rsidR="006A52EE">
        <w:rPr>
          <w:rFonts w:ascii="Garamond" w:eastAsia="Times New Roman" w:hAnsi="Garamond" w:cs="Times New Roman"/>
          <w:sz w:val="24"/>
          <w:szCs w:val="24"/>
          <w:lang w:val="en"/>
        </w:rPr>
        <w:t xml:space="preserve">NOT </w:t>
      </w:r>
      <w:r w:rsidR="00E74A5C" w:rsidRPr="00300B17">
        <w:rPr>
          <w:rFonts w:ascii="Garamond" w:eastAsia="Times New Roman" w:hAnsi="Garamond" w:cs="Times New Roman"/>
          <w:sz w:val="24"/>
          <w:szCs w:val="24"/>
          <w:lang w:val="en"/>
        </w:rPr>
        <w:t xml:space="preserve">met </w:t>
      </w:r>
      <w:r w:rsidRPr="00300B17">
        <w:rPr>
          <w:rFonts w:ascii="Garamond" w:eastAsia="Times New Roman" w:hAnsi="Garamond" w:cs="Times New Roman"/>
          <w:sz w:val="24"/>
          <w:szCs w:val="24"/>
          <w:lang w:val="en"/>
        </w:rPr>
        <w:t>SAP requirements and are therefore ineligible for further US Direct Loans for that degree.</w:t>
      </w:r>
    </w:p>
    <w:p w14:paraId="49A894E8" w14:textId="2328883C" w:rsidR="00002B6A" w:rsidRDefault="00002B6A" w:rsidP="00304E17">
      <w:pPr>
        <w:spacing w:after="0" w:line="240" w:lineRule="auto"/>
        <w:rPr>
          <w:rFonts w:ascii="Garamond" w:eastAsia="Times New Roman" w:hAnsi="Garamond" w:cs="Times New Roman"/>
          <w:b/>
          <w:sz w:val="24"/>
          <w:szCs w:val="24"/>
          <w:lang w:val="en"/>
        </w:rPr>
      </w:pPr>
      <w:r w:rsidRPr="00300B17">
        <w:rPr>
          <w:rFonts w:ascii="Garamond" w:eastAsia="Times New Roman" w:hAnsi="Garamond" w:cs="Times New Roman"/>
          <w:b/>
          <w:sz w:val="24"/>
          <w:szCs w:val="24"/>
          <w:lang w:val="en"/>
        </w:rPr>
        <w:t xml:space="preserve">STUDENTS NOT MEETING SAP </w:t>
      </w:r>
      <w:r w:rsidR="00625F1A">
        <w:rPr>
          <w:rFonts w:ascii="Garamond" w:eastAsia="Times New Roman" w:hAnsi="Garamond" w:cs="Times New Roman"/>
          <w:b/>
          <w:sz w:val="24"/>
          <w:szCs w:val="24"/>
          <w:lang w:val="en"/>
        </w:rPr>
        <w:t>REQUIREMENTS:</w:t>
      </w:r>
    </w:p>
    <w:p w14:paraId="63656E55" w14:textId="1702FF18" w:rsidR="00BB2E7E" w:rsidRDefault="00BB2E7E" w:rsidP="00BB2E7E">
      <w:pPr>
        <w:spacing w:after="0" w:line="240" w:lineRule="auto"/>
        <w:rPr>
          <w:rFonts w:ascii="Garamond" w:eastAsia="Times New Roman" w:hAnsi="Garamond" w:cs="Times New Roman"/>
          <w:sz w:val="24"/>
          <w:szCs w:val="24"/>
          <w:lang w:val="en"/>
        </w:rPr>
      </w:pPr>
      <w:bookmarkStart w:id="1" w:name="_Hlk56593669"/>
      <w:r w:rsidRPr="00300B17">
        <w:rPr>
          <w:rFonts w:ascii="Garamond" w:eastAsia="Times New Roman" w:hAnsi="Garamond" w:cs="Times New Roman"/>
          <w:sz w:val="24"/>
          <w:szCs w:val="24"/>
          <w:lang w:val="en"/>
        </w:rPr>
        <w:t>If a student on US Direct Loans has not achieved SAP, they will be notified within 30 days of academic results being available.  Notification will be sent to the student’s Mount email address only.</w:t>
      </w:r>
    </w:p>
    <w:p w14:paraId="6900F64F" w14:textId="5F44A092" w:rsidR="00625F1A" w:rsidRDefault="00625F1A" w:rsidP="00BB2E7E">
      <w:pPr>
        <w:spacing w:after="0" w:line="240" w:lineRule="auto"/>
        <w:rPr>
          <w:rFonts w:ascii="Garamond" w:eastAsia="Times New Roman" w:hAnsi="Garamond" w:cs="Times New Roman"/>
          <w:sz w:val="24"/>
          <w:szCs w:val="24"/>
          <w:lang w:val="en"/>
        </w:rPr>
      </w:pPr>
    </w:p>
    <w:bookmarkEnd w:id="1"/>
    <w:p w14:paraId="40D5E664" w14:textId="77777777" w:rsidR="00BB2E7E" w:rsidRPr="00300B17" w:rsidRDefault="00BB2E7E" w:rsidP="00BB2E7E">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If a student who has never used US Direct Loans applies for Title IV aid and did not meet SAP in the previous academic year, the student is notified of their ineligibility via email once the US Direct Loan application is received.</w:t>
      </w:r>
    </w:p>
    <w:p w14:paraId="68F46F41" w14:textId="5E15FCC3" w:rsidR="00BB2E7E" w:rsidRDefault="00BB2E7E" w:rsidP="00304E17">
      <w:pPr>
        <w:spacing w:after="0" w:line="240" w:lineRule="auto"/>
        <w:rPr>
          <w:rFonts w:ascii="Garamond" w:eastAsia="Times New Roman" w:hAnsi="Garamond" w:cs="Times New Roman"/>
          <w:b/>
          <w:sz w:val="24"/>
          <w:szCs w:val="24"/>
          <w:lang w:val="en"/>
        </w:rPr>
      </w:pPr>
    </w:p>
    <w:p w14:paraId="0C8EB96F" w14:textId="18851581" w:rsidR="00625F1A" w:rsidRDefault="00625F1A" w:rsidP="00304E17">
      <w:pPr>
        <w:spacing w:after="0" w:line="240" w:lineRule="auto"/>
        <w:rPr>
          <w:rFonts w:ascii="Garamond" w:eastAsia="Times New Roman" w:hAnsi="Garamond" w:cs="Times New Roman"/>
          <w:b/>
          <w:sz w:val="24"/>
          <w:szCs w:val="24"/>
          <w:lang w:val="en"/>
        </w:rPr>
      </w:pPr>
      <w:r>
        <w:rPr>
          <w:rFonts w:ascii="Garamond" w:eastAsia="Times New Roman" w:hAnsi="Garamond" w:cs="Times New Roman"/>
          <w:b/>
          <w:sz w:val="24"/>
          <w:szCs w:val="24"/>
          <w:lang w:val="en"/>
        </w:rPr>
        <w:t>HOW TO RE-ESTABLISH TITLE IV ELIGIBLITIY</w:t>
      </w:r>
    </w:p>
    <w:p w14:paraId="045D0428" w14:textId="77777777" w:rsidR="00BB2E7E" w:rsidRPr="00300B17" w:rsidRDefault="00BB2E7E" w:rsidP="00304E17">
      <w:pPr>
        <w:spacing w:after="0" w:line="240" w:lineRule="auto"/>
        <w:rPr>
          <w:rFonts w:ascii="Garamond" w:eastAsia="Times New Roman" w:hAnsi="Garamond" w:cs="Times New Roman"/>
          <w:b/>
          <w:sz w:val="24"/>
          <w:szCs w:val="24"/>
          <w:lang w:val="en"/>
        </w:rPr>
      </w:pPr>
    </w:p>
    <w:tbl>
      <w:tblPr>
        <w:tblStyle w:val="TableGrid"/>
        <w:tblW w:w="0" w:type="auto"/>
        <w:tblLook w:val="04A0" w:firstRow="1" w:lastRow="0" w:firstColumn="1" w:lastColumn="0" w:noHBand="0" w:noVBand="1"/>
      </w:tblPr>
      <w:tblGrid>
        <w:gridCol w:w="3116"/>
        <w:gridCol w:w="3117"/>
        <w:gridCol w:w="3117"/>
      </w:tblGrid>
      <w:tr w:rsidR="00300B17" w:rsidRPr="00300B17" w14:paraId="5C84F2F7" w14:textId="77777777" w:rsidTr="00002B6A">
        <w:tc>
          <w:tcPr>
            <w:tcW w:w="3116" w:type="dxa"/>
          </w:tcPr>
          <w:p w14:paraId="7F752973"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What happens</w:t>
            </w:r>
          </w:p>
        </w:tc>
        <w:tc>
          <w:tcPr>
            <w:tcW w:w="3117" w:type="dxa"/>
          </w:tcPr>
          <w:p w14:paraId="4CC42673"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Student Financial Aid Status</w:t>
            </w:r>
          </w:p>
        </w:tc>
        <w:tc>
          <w:tcPr>
            <w:tcW w:w="3117" w:type="dxa"/>
          </w:tcPr>
          <w:p w14:paraId="1C03E56B"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What student needs to do</w:t>
            </w:r>
          </w:p>
        </w:tc>
      </w:tr>
      <w:tr w:rsidR="00300B17" w:rsidRPr="00300B17" w14:paraId="4517FC08" w14:textId="77777777" w:rsidTr="00002B6A">
        <w:tc>
          <w:tcPr>
            <w:tcW w:w="3116" w:type="dxa"/>
          </w:tcPr>
          <w:p w14:paraId="7369D74D"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If your CGPA drops below 1.7</w:t>
            </w:r>
          </w:p>
        </w:tc>
        <w:tc>
          <w:tcPr>
            <w:tcW w:w="3117" w:type="dxa"/>
          </w:tcPr>
          <w:p w14:paraId="3E75A28E"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All US Direct Loan funding is denied</w:t>
            </w:r>
          </w:p>
        </w:tc>
        <w:tc>
          <w:tcPr>
            <w:tcW w:w="3117" w:type="dxa"/>
          </w:tcPr>
          <w:p w14:paraId="41E9E58C"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Raise CGPA to required standards. A student may appeal if there are extenuating circumstances.</w:t>
            </w:r>
          </w:p>
        </w:tc>
      </w:tr>
      <w:tr w:rsidR="00300B17" w:rsidRPr="00300B17" w14:paraId="340F744F" w14:textId="77777777" w:rsidTr="00002B6A">
        <w:tc>
          <w:tcPr>
            <w:tcW w:w="3116" w:type="dxa"/>
          </w:tcPr>
          <w:p w14:paraId="442CA662"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If you do not have an overall completion rate of 67% or more</w:t>
            </w:r>
          </w:p>
        </w:tc>
        <w:tc>
          <w:tcPr>
            <w:tcW w:w="3117" w:type="dxa"/>
          </w:tcPr>
          <w:p w14:paraId="7FF7D185"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All US Direct Loan funding is denied</w:t>
            </w:r>
          </w:p>
        </w:tc>
        <w:tc>
          <w:tcPr>
            <w:tcW w:w="3117" w:type="dxa"/>
          </w:tcPr>
          <w:p w14:paraId="612DC5F0"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Raise your completion rate to 67% or higher.  A student may appeal if there are extenuating circumstances.</w:t>
            </w:r>
          </w:p>
        </w:tc>
      </w:tr>
      <w:tr w:rsidR="00300B17" w:rsidRPr="00300B17" w14:paraId="0F016D73" w14:textId="77777777" w:rsidTr="00002B6A">
        <w:tc>
          <w:tcPr>
            <w:tcW w:w="3116" w:type="dxa"/>
          </w:tcPr>
          <w:p w14:paraId="4FEDD8A9"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If your CGPA drops below 1.7 AND your over</w:t>
            </w:r>
            <w:r w:rsidR="00F41103" w:rsidRPr="00300B17">
              <w:rPr>
                <w:rFonts w:ascii="Garamond" w:eastAsia="Times New Roman" w:hAnsi="Garamond" w:cs="Times New Roman"/>
                <w:sz w:val="24"/>
                <w:szCs w:val="24"/>
                <w:lang w:val="en"/>
              </w:rPr>
              <w:t>all</w:t>
            </w:r>
            <w:r w:rsidRPr="00300B17">
              <w:rPr>
                <w:rFonts w:ascii="Garamond" w:eastAsia="Times New Roman" w:hAnsi="Garamond" w:cs="Times New Roman"/>
                <w:sz w:val="24"/>
                <w:szCs w:val="24"/>
                <w:lang w:val="en"/>
              </w:rPr>
              <w:t xml:space="preserve"> completion rate is below 67%</w:t>
            </w:r>
          </w:p>
        </w:tc>
        <w:tc>
          <w:tcPr>
            <w:tcW w:w="3117" w:type="dxa"/>
          </w:tcPr>
          <w:p w14:paraId="729D9CB0"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All US Direct Loan funding is denied</w:t>
            </w:r>
          </w:p>
        </w:tc>
        <w:tc>
          <w:tcPr>
            <w:tcW w:w="3117" w:type="dxa"/>
          </w:tcPr>
          <w:p w14:paraId="23910F37"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Raise your GCPA to 1.7 or higher and raise your completion rate to 67%.  A student may appeal if there are extenuating circumstances.</w:t>
            </w:r>
          </w:p>
        </w:tc>
      </w:tr>
      <w:tr w:rsidR="00300B17" w:rsidRPr="00300B17" w14:paraId="4C67597F" w14:textId="77777777" w:rsidTr="00002B6A">
        <w:tc>
          <w:tcPr>
            <w:tcW w:w="3116" w:type="dxa"/>
          </w:tcPr>
          <w:p w14:paraId="44D09EA8" w14:textId="77777777" w:rsidR="00002B6A" w:rsidRPr="00300B17" w:rsidRDefault="00002B6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If you </w:t>
            </w:r>
            <w:r w:rsidR="008D73FA" w:rsidRPr="00300B17">
              <w:rPr>
                <w:rFonts w:ascii="Garamond" w:eastAsia="Times New Roman" w:hAnsi="Garamond" w:cs="Times New Roman"/>
                <w:sz w:val="24"/>
                <w:szCs w:val="24"/>
                <w:lang w:val="en"/>
              </w:rPr>
              <w:t xml:space="preserve">are an undergraduate student and </w:t>
            </w:r>
            <w:r w:rsidR="00E74A5C" w:rsidRPr="00300B17">
              <w:rPr>
                <w:rFonts w:ascii="Garamond" w:eastAsia="Times New Roman" w:hAnsi="Garamond" w:cs="Times New Roman"/>
                <w:sz w:val="24"/>
                <w:szCs w:val="24"/>
                <w:lang w:val="en"/>
              </w:rPr>
              <w:t xml:space="preserve">will </w:t>
            </w:r>
            <w:r w:rsidR="008D73FA" w:rsidRPr="00300B17">
              <w:rPr>
                <w:rFonts w:ascii="Garamond" w:eastAsia="Times New Roman" w:hAnsi="Garamond" w:cs="Times New Roman"/>
                <w:sz w:val="24"/>
                <w:szCs w:val="24"/>
                <w:lang w:val="en"/>
              </w:rPr>
              <w:t>take more than 150% of the published length of time to complete your program</w:t>
            </w:r>
          </w:p>
        </w:tc>
        <w:tc>
          <w:tcPr>
            <w:tcW w:w="3117" w:type="dxa"/>
          </w:tcPr>
          <w:p w14:paraId="1263709F" w14:textId="77777777" w:rsidR="00002B6A" w:rsidRPr="00300B17" w:rsidRDefault="008D73F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Ineligible for all US Direct Loan funding</w:t>
            </w:r>
          </w:p>
        </w:tc>
        <w:tc>
          <w:tcPr>
            <w:tcW w:w="3117" w:type="dxa"/>
          </w:tcPr>
          <w:p w14:paraId="0BE43239" w14:textId="77777777" w:rsidR="00002B6A" w:rsidRPr="00300B17" w:rsidRDefault="008D73FA" w:rsidP="00304E17">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No action can be taken.  You must complete your program without US Direct Loans.</w:t>
            </w:r>
          </w:p>
        </w:tc>
      </w:tr>
      <w:tr w:rsidR="00300B17" w:rsidRPr="00300B17" w14:paraId="0DE661C0" w14:textId="77777777" w:rsidTr="00002B6A">
        <w:tc>
          <w:tcPr>
            <w:tcW w:w="3116" w:type="dxa"/>
          </w:tcPr>
          <w:p w14:paraId="33E13E18" w14:textId="77777777" w:rsidR="008D73FA" w:rsidRPr="00300B17" w:rsidRDefault="008D73FA" w:rsidP="008D73FA">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If you are a graduate student and </w:t>
            </w:r>
            <w:r w:rsidR="00E74A5C" w:rsidRPr="00300B17">
              <w:rPr>
                <w:rFonts w:ascii="Garamond" w:eastAsia="Times New Roman" w:hAnsi="Garamond" w:cs="Times New Roman"/>
                <w:sz w:val="24"/>
                <w:szCs w:val="24"/>
                <w:lang w:val="en"/>
              </w:rPr>
              <w:t xml:space="preserve">will </w:t>
            </w:r>
            <w:r w:rsidRPr="00300B17">
              <w:rPr>
                <w:rFonts w:ascii="Garamond" w:eastAsia="Times New Roman" w:hAnsi="Garamond" w:cs="Times New Roman"/>
                <w:sz w:val="24"/>
                <w:szCs w:val="24"/>
                <w:lang w:val="en"/>
              </w:rPr>
              <w:t>take longer than published in the graduate calendar to complete your program.</w:t>
            </w:r>
          </w:p>
        </w:tc>
        <w:tc>
          <w:tcPr>
            <w:tcW w:w="3117" w:type="dxa"/>
          </w:tcPr>
          <w:p w14:paraId="6317FA34" w14:textId="77777777" w:rsidR="008D73FA" w:rsidRPr="00300B17" w:rsidRDefault="008D73FA" w:rsidP="008D73FA">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Ineligible for all US Direct Loan funding</w:t>
            </w:r>
          </w:p>
        </w:tc>
        <w:tc>
          <w:tcPr>
            <w:tcW w:w="3117" w:type="dxa"/>
          </w:tcPr>
          <w:p w14:paraId="29E694C7" w14:textId="77777777" w:rsidR="008D73FA" w:rsidRPr="00300B17" w:rsidRDefault="008D73FA" w:rsidP="008D73FA">
            <w:pPr>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No action can be taken.  You must complete your program without US Direct Loans.</w:t>
            </w:r>
          </w:p>
        </w:tc>
      </w:tr>
    </w:tbl>
    <w:p w14:paraId="5A40B2DA" w14:textId="77777777" w:rsidR="00B148D8" w:rsidRPr="00300B17" w:rsidRDefault="00002B6A"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 </w:t>
      </w:r>
    </w:p>
    <w:p w14:paraId="44D8204A" w14:textId="489977ED" w:rsidR="00625F1A" w:rsidRDefault="00625F1A" w:rsidP="00E74A5C">
      <w:pPr>
        <w:spacing w:after="0" w:line="240" w:lineRule="auto"/>
        <w:rPr>
          <w:rFonts w:ascii="Garamond" w:eastAsia="Times New Roman" w:hAnsi="Garamond" w:cs="Times New Roman"/>
          <w:b/>
          <w:sz w:val="24"/>
          <w:szCs w:val="24"/>
          <w:lang w:val="en"/>
        </w:rPr>
      </w:pPr>
      <w:r w:rsidRPr="00141A97">
        <w:rPr>
          <w:rFonts w:ascii="Garamond" w:eastAsia="Times New Roman" w:hAnsi="Garamond" w:cs="Times New Roman"/>
          <w:b/>
          <w:sz w:val="24"/>
          <w:szCs w:val="24"/>
          <w:lang w:val="en"/>
        </w:rPr>
        <w:lastRenderedPageBreak/>
        <w:t>APPEALS:</w:t>
      </w:r>
    </w:p>
    <w:p w14:paraId="429A9411" w14:textId="77777777" w:rsidR="00141A97" w:rsidRPr="00141A97" w:rsidRDefault="00141A97" w:rsidP="00E74A5C">
      <w:pPr>
        <w:spacing w:after="0" w:line="240" w:lineRule="auto"/>
        <w:rPr>
          <w:rFonts w:ascii="Garamond" w:eastAsia="Times New Roman" w:hAnsi="Garamond" w:cs="Times New Roman"/>
          <w:b/>
          <w:sz w:val="24"/>
          <w:szCs w:val="24"/>
          <w:lang w:val="en"/>
        </w:rPr>
      </w:pPr>
      <w:bookmarkStart w:id="2" w:name="_GoBack"/>
      <w:bookmarkEnd w:id="2"/>
    </w:p>
    <w:p w14:paraId="7D32019B" w14:textId="281B92B6" w:rsidR="00300B17" w:rsidRDefault="008D73FA" w:rsidP="00E74A5C">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Students not fulfilling SAP requirements will notified at their Mount email address</w:t>
      </w:r>
      <w:r w:rsidR="00E74A5C" w:rsidRPr="00300B17">
        <w:rPr>
          <w:rFonts w:ascii="Garamond" w:eastAsia="Times New Roman" w:hAnsi="Garamond" w:cs="Times New Roman"/>
          <w:sz w:val="24"/>
          <w:szCs w:val="24"/>
          <w:lang w:val="en"/>
        </w:rPr>
        <w:t xml:space="preserve"> with 30 days of academic results being available</w:t>
      </w:r>
      <w:r w:rsidRPr="00300B17">
        <w:rPr>
          <w:rFonts w:ascii="Garamond" w:eastAsia="Times New Roman" w:hAnsi="Garamond" w:cs="Times New Roman"/>
          <w:sz w:val="24"/>
          <w:szCs w:val="24"/>
          <w:lang w:val="en"/>
        </w:rPr>
        <w:t xml:space="preserve">.  </w:t>
      </w:r>
      <w:r w:rsidR="00E74A5C" w:rsidRPr="00300B17">
        <w:rPr>
          <w:rFonts w:ascii="Garamond" w:eastAsia="Times New Roman" w:hAnsi="Garamond" w:cs="Times New Roman"/>
          <w:sz w:val="24"/>
          <w:szCs w:val="24"/>
          <w:lang w:val="en"/>
        </w:rPr>
        <w:t>The student then has TEN business days from the date on the notification email to submit an appeal.</w:t>
      </w:r>
    </w:p>
    <w:p w14:paraId="02748E73" w14:textId="77777777" w:rsidR="00300B17" w:rsidRDefault="00300B17" w:rsidP="00E74A5C">
      <w:pPr>
        <w:spacing w:after="0" w:line="240" w:lineRule="auto"/>
        <w:rPr>
          <w:rFonts w:ascii="Garamond" w:eastAsia="Times New Roman" w:hAnsi="Garamond" w:cs="Times New Roman"/>
          <w:sz w:val="24"/>
          <w:szCs w:val="24"/>
          <w:lang w:val="en"/>
        </w:rPr>
      </w:pPr>
    </w:p>
    <w:p w14:paraId="4C897E0F" w14:textId="77777777" w:rsidR="00300B17" w:rsidRPr="00300B17" w:rsidRDefault="00300B17" w:rsidP="00E74A5C">
      <w:pPr>
        <w:spacing w:after="0" w:line="240" w:lineRule="auto"/>
        <w:rPr>
          <w:rFonts w:ascii="Garamond" w:eastAsia="Times New Roman" w:hAnsi="Garamond" w:cs="Times New Roman"/>
          <w:sz w:val="24"/>
          <w:szCs w:val="24"/>
          <w:lang w:val="en"/>
        </w:rPr>
      </w:pPr>
      <w:r>
        <w:rPr>
          <w:rFonts w:ascii="Garamond" w:eastAsia="Times New Roman" w:hAnsi="Garamond" w:cs="Times New Roman"/>
          <w:sz w:val="24"/>
          <w:szCs w:val="24"/>
          <w:lang w:val="en"/>
        </w:rPr>
        <w:t xml:space="preserve">Appeals will be considered for extraordinary situations such as: </w:t>
      </w:r>
      <w:r w:rsidR="003857F3">
        <w:rPr>
          <w:rFonts w:ascii="Garamond" w:eastAsia="Times New Roman" w:hAnsi="Garamond" w:cs="Times New Roman"/>
          <w:sz w:val="24"/>
          <w:szCs w:val="24"/>
          <w:lang w:val="en"/>
        </w:rPr>
        <w:t xml:space="preserve">medical problems or </w:t>
      </w:r>
      <w:r>
        <w:rPr>
          <w:rFonts w:ascii="Garamond" w:eastAsia="Times New Roman" w:hAnsi="Garamond" w:cs="Times New Roman"/>
          <w:sz w:val="24"/>
          <w:szCs w:val="24"/>
          <w:lang w:val="en"/>
        </w:rPr>
        <w:t xml:space="preserve">illness, death in the family, </w:t>
      </w:r>
      <w:r w:rsidR="003857F3">
        <w:rPr>
          <w:rFonts w:ascii="Garamond" w:eastAsia="Times New Roman" w:hAnsi="Garamond" w:cs="Times New Roman"/>
          <w:sz w:val="24"/>
          <w:szCs w:val="24"/>
          <w:lang w:val="en"/>
        </w:rPr>
        <w:t>family difficulties or other special circumstances.</w:t>
      </w:r>
    </w:p>
    <w:p w14:paraId="51B5ECB4" w14:textId="77777777" w:rsidR="00B148D8" w:rsidRPr="00300B17" w:rsidRDefault="00B148D8" w:rsidP="00304E17">
      <w:pPr>
        <w:spacing w:after="0" w:line="240" w:lineRule="auto"/>
        <w:rPr>
          <w:rFonts w:ascii="Garamond" w:eastAsia="Times New Roman" w:hAnsi="Garamond" w:cs="Times New Roman"/>
          <w:sz w:val="24"/>
          <w:szCs w:val="24"/>
          <w:lang w:val="en"/>
        </w:rPr>
      </w:pPr>
    </w:p>
    <w:p w14:paraId="4B468B68" w14:textId="77777777" w:rsidR="008D73FA" w:rsidRPr="00300B17" w:rsidRDefault="008D73FA"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The appeal submission must include the following:</w:t>
      </w:r>
    </w:p>
    <w:p w14:paraId="6C5F02B3" w14:textId="77777777" w:rsidR="008D73FA" w:rsidRPr="00300B17" w:rsidRDefault="008D73FA" w:rsidP="008D73FA">
      <w:pPr>
        <w:pStyle w:val="ListParagraph"/>
        <w:numPr>
          <w:ilvl w:val="0"/>
          <w:numId w:val="3"/>
        </w:numPr>
        <w:rPr>
          <w:rFonts w:ascii="Garamond" w:eastAsia="Times New Roman" w:hAnsi="Garamond" w:cs="Times New Roman"/>
          <w:lang w:val="en"/>
        </w:rPr>
      </w:pPr>
      <w:r w:rsidRPr="00300B17">
        <w:rPr>
          <w:rFonts w:ascii="Garamond" w:eastAsia="Times New Roman" w:hAnsi="Garamond" w:cs="Times New Roman"/>
          <w:lang w:val="en"/>
        </w:rPr>
        <w:t>Letter explaining the circumstances/reasons why SAP requirements were not met</w:t>
      </w:r>
    </w:p>
    <w:p w14:paraId="13F778C7" w14:textId="77777777" w:rsidR="008D73FA" w:rsidRPr="00300B17" w:rsidRDefault="008D73FA" w:rsidP="008D73FA">
      <w:pPr>
        <w:pStyle w:val="ListParagraph"/>
        <w:numPr>
          <w:ilvl w:val="0"/>
          <w:numId w:val="3"/>
        </w:numPr>
        <w:rPr>
          <w:rFonts w:ascii="Garamond" w:eastAsia="Times New Roman" w:hAnsi="Garamond" w:cs="Times New Roman"/>
          <w:lang w:val="en"/>
        </w:rPr>
      </w:pPr>
      <w:r w:rsidRPr="00300B17">
        <w:rPr>
          <w:rFonts w:ascii="Garamond" w:eastAsia="Times New Roman" w:hAnsi="Garamond" w:cs="Times New Roman"/>
          <w:lang w:val="en"/>
        </w:rPr>
        <w:t>Documentation which supports the reason(s) SAP requirements were not met</w:t>
      </w:r>
    </w:p>
    <w:p w14:paraId="17E12590" w14:textId="77777777" w:rsidR="008D73FA" w:rsidRPr="00300B17" w:rsidRDefault="008D73FA" w:rsidP="008D73FA">
      <w:pPr>
        <w:pStyle w:val="ListParagraph"/>
        <w:numPr>
          <w:ilvl w:val="0"/>
          <w:numId w:val="3"/>
        </w:numPr>
        <w:rPr>
          <w:rFonts w:ascii="Garamond" w:eastAsia="Times New Roman" w:hAnsi="Garamond" w:cs="Times New Roman"/>
          <w:lang w:val="en"/>
        </w:rPr>
      </w:pPr>
      <w:r w:rsidRPr="00300B17">
        <w:rPr>
          <w:rFonts w:ascii="Garamond" w:eastAsia="Times New Roman" w:hAnsi="Garamond" w:cs="Times New Roman"/>
          <w:lang w:val="en"/>
        </w:rPr>
        <w:t>Explanation of what has changed to enable student to meet the SAP requirements</w:t>
      </w:r>
    </w:p>
    <w:p w14:paraId="336AD2CA" w14:textId="77777777" w:rsidR="008D73FA" w:rsidRPr="00300B17" w:rsidRDefault="008D73FA" w:rsidP="008D73FA">
      <w:pPr>
        <w:pStyle w:val="ListParagraph"/>
        <w:rPr>
          <w:rFonts w:ascii="Garamond" w:eastAsia="Times New Roman" w:hAnsi="Garamond" w:cs="Times New Roman"/>
          <w:lang w:val="en"/>
        </w:rPr>
      </w:pPr>
    </w:p>
    <w:p w14:paraId="2425622E" w14:textId="77777777" w:rsidR="007C31F7" w:rsidRPr="00300B17" w:rsidRDefault="008D73FA"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The appeal must be submitted in writing to: </w:t>
      </w:r>
    </w:p>
    <w:p w14:paraId="49344D89" w14:textId="77777777" w:rsidR="008D73FA" w:rsidRPr="00300B17" w:rsidRDefault="008D73FA"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 xml:space="preserve">Assistant Registrar, </w:t>
      </w:r>
      <w:r w:rsidR="00B148D8" w:rsidRPr="00300B17">
        <w:rPr>
          <w:rFonts w:ascii="Garamond" w:eastAsia="Times New Roman" w:hAnsi="Garamond" w:cs="Times New Roman"/>
          <w:sz w:val="24"/>
          <w:szCs w:val="24"/>
          <w:lang w:val="en"/>
        </w:rPr>
        <w:t>F</w:t>
      </w:r>
      <w:r w:rsidR="001B3CE4" w:rsidRPr="00300B17">
        <w:rPr>
          <w:rFonts w:ascii="Garamond" w:eastAsia="Times New Roman" w:hAnsi="Garamond" w:cs="Times New Roman"/>
          <w:sz w:val="24"/>
          <w:szCs w:val="24"/>
          <w:lang w:val="en"/>
        </w:rPr>
        <w:t xml:space="preserve">inancial Aid </w:t>
      </w:r>
    </w:p>
    <w:p w14:paraId="768F5DE7" w14:textId="77777777" w:rsidR="001B3CE4" w:rsidRPr="00300B17" w:rsidRDefault="001B3CE4"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Mount Saint Vincent University</w:t>
      </w:r>
    </w:p>
    <w:p w14:paraId="75125EA7" w14:textId="77777777" w:rsidR="008D73FA" w:rsidRPr="00300B17" w:rsidRDefault="008D73FA"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166 Bedford Highway Evaristus 207</w:t>
      </w:r>
    </w:p>
    <w:p w14:paraId="357B6963" w14:textId="48CB6828" w:rsidR="001B3CE4" w:rsidRPr="00300B17" w:rsidRDefault="001B3CE4"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Halifax, NS</w:t>
      </w:r>
      <w:r w:rsidR="00625F1A">
        <w:rPr>
          <w:rFonts w:ascii="Garamond" w:eastAsia="Times New Roman" w:hAnsi="Garamond" w:cs="Times New Roman"/>
          <w:sz w:val="24"/>
          <w:szCs w:val="24"/>
          <w:lang w:val="en"/>
        </w:rPr>
        <w:t xml:space="preserve">  </w:t>
      </w:r>
      <w:r w:rsidRPr="00300B17">
        <w:rPr>
          <w:rFonts w:ascii="Garamond" w:eastAsia="Times New Roman" w:hAnsi="Garamond" w:cs="Times New Roman"/>
          <w:sz w:val="24"/>
          <w:szCs w:val="24"/>
          <w:lang w:val="en"/>
        </w:rPr>
        <w:t>B3M 2J6</w:t>
      </w:r>
    </w:p>
    <w:p w14:paraId="5A86C3F2" w14:textId="77777777" w:rsidR="003F1364" w:rsidRPr="00300B17" w:rsidRDefault="003F1364" w:rsidP="00304E17">
      <w:pPr>
        <w:spacing w:after="0" w:line="240" w:lineRule="auto"/>
        <w:rPr>
          <w:rFonts w:ascii="Garamond" w:eastAsia="Times New Roman" w:hAnsi="Garamond" w:cs="Times New Roman"/>
          <w:sz w:val="24"/>
          <w:szCs w:val="24"/>
          <w:lang w:val="en"/>
        </w:rPr>
      </w:pPr>
    </w:p>
    <w:p w14:paraId="7F17F19A" w14:textId="77777777" w:rsidR="001B3CE4" w:rsidRPr="00300B17" w:rsidRDefault="001B3CE4" w:rsidP="00304E17">
      <w:pPr>
        <w:spacing w:after="0" w:line="240" w:lineRule="auto"/>
        <w:rPr>
          <w:rFonts w:ascii="Garamond" w:eastAsia="Times New Roman" w:hAnsi="Garamond" w:cs="Times New Roman"/>
          <w:sz w:val="24"/>
          <w:szCs w:val="24"/>
          <w:lang w:val="en"/>
        </w:rPr>
      </w:pPr>
      <w:r w:rsidRPr="00300B17">
        <w:rPr>
          <w:rFonts w:ascii="Garamond" w:eastAsia="Times New Roman" w:hAnsi="Garamond" w:cs="Times New Roman"/>
          <w:sz w:val="24"/>
          <w:szCs w:val="24"/>
          <w:lang w:val="en"/>
        </w:rPr>
        <w:t>All documentation to support the appeal is required at time of appeal submission</w:t>
      </w:r>
      <w:r w:rsidR="008D73FA" w:rsidRPr="00300B17">
        <w:rPr>
          <w:rFonts w:ascii="Garamond" w:eastAsia="Times New Roman" w:hAnsi="Garamond" w:cs="Times New Roman"/>
          <w:sz w:val="24"/>
          <w:szCs w:val="24"/>
          <w:lang w:val="en"/>
        </w:rPr>
        <w:t xml:space="preserve"> and only complete files will be reviewed.</w:t>
      </w:r>
    </w:p>
    <w:p w14:paraId="549CA737" w14:textId="77777777" w:rsidR="005B6A5B" w:rsidRDefault="005B6A5B" w:rsidP="00304E17">
      <w:pPr>
        <w:spacing w:after="0" w:line="240" w:lineRule="auto"/>
        <w:rPr>
          <w:rFonts w:ascii="Garamond" w:eastAsia="Times New Roman" w:hAnsi="Garamond" w:cs="Times New Roman"/>
          <w:sz w:val="24"/>
          <w:szCs w:val="24"/>
          <w:lang w:val="en"/>
        </w:rPr>
      </w:pPr>
    </w:p>
    <w:p w14:paraId="18C7D601" w14:textId="77777777" w:rsidR="003857F3" w:rsidRDefault="005B6A5B" w:rsidP="00304E17">
      <w:pPr>
        <w:spacing w:after="0" w:line="240" w:lineRule="auto"/>
        <w:rPr>
          <w:rFonts w:ascii="Garamond" w:hAnsi="Garamond" w:cs="Times New Roman"/>
          <w:sz w:val="24"/>
          <w:szCs w:val="24"/>
        </w:rPr>
      </w:pPr>
      <w:r w:rsidRPr="00300B17">
        <w:rPr>
          <w:rFonts w:ascii="Garamond" w:hAnsi="Garamond" w:cs="Times New Roman"/>
          <w:sz w:val="24"/>
          <w:szCs w:val="24"/>
        </w:rPr>
        <w:t>The</w:t>
      </w:r>
      <w:r w:rsidR="00FF230B" w:rsidRPr="00300B17">
        <w:rPr>
          <w:rFonts w:ascii="Garamond" w:hAnsi="Garamond" w:cs="Times New Roman"/>
          <w:sz w:val="24"/>
          <w:szCs w:val="24"/>
        </w:rPr>
        <w:t xml:space="preserve"> </w:t>
      </w:r>
      <w:r w:rsidR="003857F3">
        <w:rPr>
          <w:rFonts w:ascii="Garamond" w:hAnsi="Garamond" w:cs="Times New Roman"/>
          <w:sz w:val="24"/>
          <w:szCs w:val="24"/>
        </w:rPr>
        <w:t>Assistant Regi</w:t>
      </w:r>
      <w:r w:rsidR="006A52EE">
        <w:rPr>
          <w:rFonts w:ascii="Garamond" w:hAnsi="Garamond" w:cs="Times New Roman"/>
          <w:sz w:val="24"/>
          <w:szCs w:val="24"/>
        </w:rPr>
        <w:t>st</w:t>
      </w:r>
      <w:r w:rsidR="003857F3">
        <w:rPr>
          <w:rFonts w:ascii="Garamond" w:hAnsi="Garamond" w:cs="Times New Roman"/>
          <w:sz w:val="24"/>
          <w:szCs w:val="24"/>
        </w:rPr>
        <w:t xml:space="preserve">rar, </w:t>
      </w:r>
      <w:r w:rsidR="00FF230B" w:rsidRPr="00300B17">
        <w:rPr>
          <w:rFonts w:ascii="Garamond" w:hAnsi="Garamond" w:cs="Times New Roman"/>
          <w:sz w:val="24"/>
          <w:szCs w:val="24"/>
        </w:rPr>
        <w:t>F</w:t>
      </w:r>
      <w:r w:rsidR="003857F3">
        <w:rPr>
          <w:rFonts w:ascii="Garamond" w:hAnsi="Garamond" w:cs="Times New Roman"/>
          <w:sz w:val="24"/>
          <w:szCs w:val="24"/>
        </w:rPr>
        <w:t xml:space="preserve">inancial </w:t>
      </w:r>
      <w:r w:rsidR="00FF230B" w:rsidRPr="00300B17">
        <w:rPr>
          <w:rFonts w:ascii="Garamond" w:hAnsi="Garamond" w:cs="Times New Roman"/>
          <w:sz w:val="24"/>
          <w:szCs w:val="24"/>
        </w:rPr>
        <w:t>A</w:t>
      </w:r>
      <w:r w:rsidR="003857F3">
        <w:rPr>
          <w:rFonts w:ascii="Garamond" w:hAnsi="Garamond" w:cs="Times New Roman"/>
          <w:sz w:val="24"/>
          <w:szCs w:val="24"/>
        </w:rPr>
        <w:t>id h</w:t>
      </w:r>
      <w:r w:rsidRPr="00300B17">
        <w:rPr>
          <w:rFonts w:ascii="Garamond" w:hAnsi="Garamond" w:cs="Times New Roman"/>
          <w:sz w:val="24"/>
          <w:szCs w:val="24"/>
        </w:rPr>
        <w:t xml:space="preserve">as sole responsibility for the review and determination of such appeals based on the documentation provided by the student.  </w:t>
      </w:r>
    </w:p>
    <w:p w14:paraId="4569A2DA" w14:textId="77777777" w:rsidR="003857F3" w:rsidRDefault="003857F3" w:rsidP="00304E17">
      <w:pPr>
        <w:spacing w:after="0" w:line="240" w:lineRule="auto"/>
        <w:rPr>
          <w:rFonts w:ascii="Garamond" w:hAnsi="Garamond" w:cs="Times New Roman"/>
          <w:sz w:val="24"/>
          <w:szCs w:val="24"/>
        </w:rPr>
      </w:pPr>
    </w:p>
    <w:p w14:paraId="009971C5" w14:textId="77777777" w:rsidR="003857F3" w:rsidRDefault="003857F3" w:rsidP="00304E17">
      <w:pPr>
        <w:spacing w:after="0" w:line="240" w:lineRule="auto"/>
        <w:rPr>
          <w:rFonts w:ascii="Garamond" w:hAnsi="Garamond" w:cs="Times New Roman"/>
          <w:sz w:val="24"/>
          <w:szCs w:val="24"/>
        </w:rPr>
      </w:pPr>
      <w:r>
        <w:rPr>
          <w:rFonts w:ascii="Garamond" w:hAnsi="Garamond" w:cs="Times New Roman"/>
          <w:sz w:val="24"/>
          <w:szCs w:val="24"/>
        </w:rPr>
        <w:t>The appeal decision may be:</w:t>
      </w:r>
    </w:p>
    <w:p w14:paraId="19AE4D9D" w14:textId="77777777" w:rsidR="003857F3" w:rsidRDefault="003857F3" w:rsidP="003857F3">
      <w:pPr>
        <w:pStyle w:val="ListParagraph"/>
        <w:numPr>
          <w:ilvl w:val="0"/>
          <w:numId w:val="4"/>
        </w:numPr>
        <w:rPr>
          <w:rFonts w:ascii="Garamond" w:hAnsi="Garamond" w:cs="Times New Roman"/>
        </w:rPr>
      </w:pPr>
      <w:r>
        <w:rPr>
          <w:rFonts w:ascii="Garamond" w:hAnsi="Garamond" w:cs="Times New Roman"/>
        </w:rPr>
        <w:t>reinstatement of US Direct Loans eligibility</w:t>
      </w:r>
    </w:p>
    <w:p w14:paraId="4EE4389B" w14:textId="77777777" w:rsidR="003857F3" w:rsidRDefault="003857F3" w:rsidP="003857F3">
      <w:pPr>
        <w:pStyle w:val="ListParagraph"/>
        <w:numPr>
          <w:ilvl w:val="0"/>
          <w:numId w:val="4"/>
        </w:numPr>
        <w:rPr>
          <w:rFonts w:ascii="Garamond" w:hAnsi="Garamond" w:cs="Times New Roman"/>
        </w:rPr>
      </w:pPr>
      <w:r>
        <w:rPr>
          <w:rFonts w:ascii="Garamond" w:hAnsi="Garamond" w:cs="Times New Roman"/>
        </w:rPr>
        <w:t>financial probationary period with conditions</w:t>
      </w:r>
    </w:p>
    <w:p w14:paraId="245C7CF9" w14:textId="77777777" w:rsidR="003857F3" w:rsidRDefault="003857F3" w:rsidP="003857F3">
      <w:pPr>
        <w:pStyle w:val="ListParagraph"/>
        <w:numPr>
          <w:ilvl w:val="0"/>
          <w:numId w:val="4"/>
        </w:numPr>
        <w:rPr>
          <w:rFonts w:ascii="Garamond" w:hAnsi="Garamond" w:cs="Times New Roman"/>
        </w:rPr>
      </w:pPr>
      <w:r>
        <w:rPr>
          <w:rFonts w:ascii="Garamond" w:hAnsi="Garamond" w:cs="Times New Roman"/>
        </w:rPr>
        <w:t>denial of US Direct Loans</w:t>
      </w:r>
    </w:p>
    <w:p w14:paraId="0B331269" w14:textId="77777777" w:rsidR="003857F3" w:rsidRPr="003857F3" w:rsidRDefault="003857F3" w:rsidP="003857F3">
      <w:pPr>
        <w:pStyle w:val="ListParagraph"/>
        <w:rPr>
          <w:rFonts w:ascii="Garamond" w:hAnsi="Garamond" w:cs="Times New Roman"/>
        </w:rPr>
      </w:pPr>
    </w:p>
    <w:p w14:paraId="4155F13B" w14:textId="77777777" w:rsidR="003857F3" w:rsidRDefault="003857F3" w:rsidP="00304E17">
      <w:pPr>
        <w:spacing w:after="0" w:line="240" w:lineRule="auto"/>
        <w:rPr>
          <w:rFonts w:ascii="Garamond" w:hAnsi="Garamond" w:cs="Times New Roman"/>
          <w:sz w:val="24"/>
          <w:szCs w:val="24"/>
        </w:rPr>
      </w:pPr>
      <w:r>
        <w:rPr>
          <w:rFonts w:ascii="Garamond" w:hAnsi="Garamond" w:cs="Times New Roman"/>
          <w:sz w:val="24"/>
          <w:szCs w:val="24"/>
        </w:rPr>
        <w:t>Any conditions related to a financial probationary period will be included in the email.  At the end of the next term,</w:t>
      </w:r>
      <w:r w:rsidR="006A52EE">
        <w:rPr>
          <w:rFonts w:ascii="Garamond" w:hAnsi="Garamond" w:cs="Times New Roman"/>
          <w:sz w:val="24"/>
          <w:szCs w:val="24"/>
        </w:rPr>
        <w:t xml:space="preserve"> the student’s </w:t>
      </w:r>
      <w:r>
        <w:rPr>
          <w:rFonts w:ascii="Garamond" w:hAnsi="Garamond" w:cs="Times New Roman"/>
          <w:sz w:val="24"/>
          <w:szCs w:val="24"/>
        </w:rPr>
        <w:t xml:space="preserve">Satisfactory Academic Progress will be re-evaluated based upon the Mount’s Satisfactory SAP Policy and </w:t>
      </w:r>
      <w:r w:rsidR="006A52EE">
        <w:rPr>
          <w:rFonts w:ascii="Garamond" w:hAnsi="Garamond" w:cs="Times New Roman"/>
          <w:sz w:val="24"/>
          <w:szCs w:val="24"/>
        </w:rPr>
        <w:t xml:space="preserve">any </w:t>
      </w:r>
      <w:r>
        <w:rPr>
          <w:rFonts w:ascii="Garamond" w:hAnsi="Garamond" w:cs="Times New Roman"/>
          <w:sz w:val="24"/>
          <w:szCs w:val="24"/>
        </w:rPr>
        <w:t xml:space="preserve">conditions included in the student’s probation.  Failure to meet SAP requirements or probation conditions will result in the denial of US Direct Loans. </w:t>
      </w:r>
    </w:p>
    <w:p w14:paraId="191428EC" w14:textId="77777777" w:rsidR="003857F3" w:rsidRDefault="003857F3" w:rsidP="00304E17">
      <w:pPr>
        <w:spacing w:after="0" w:line="240" w:lineRule="auto"/>
        <w:rPr>
          <w:rFonts w:ascii="Garamond" w:hAnsi="Garamond" w:cs="Times New Roman"/>
          <w:sz w:val="24"/>
          <w:szCs w:val="24"/>
        </w:rPr>
      </w:pPr>
    </w:p>
    <w:p w14:paraId="357299F6" w14:textId="77777777" w:rsidR="003857F3" w:rsidRDefault="003857F3" w:rsidP="00304E17">
      <w:pPr>
        <w:spacing w:after="0" w:line="240" w:lineRule="auto"/>
        <w:rPr>
          <w:rFonts w:ascii="Garamond" w:hAnsi="Garamond" w:cs="Times New Roman"/>
          <w:sz w:val="24"/>
          <w:szCs w:val="24"/>
        </w:rPr>
      </w:pPr>
      <w:r>
        <w:rPr>
          <w:rFonts w:ascii="Garamond" w:hAnsi="Garamond" w:cs="Times New Roman"/>
          <w:sz w:val="24"/>
          <w:szCs w:val="24"/>
        </w:rPr>
        <w:t xml:space="preserve">Students </w:t>
      </w:r>
      <w:r w:rsidR="00D35928">
        <w:rPr>
          <w:rFonts w:ascii="Garamond" w:hAnsi="Garamond" w:cs="Times New Roman"/>
          <w:sz w:val="24"/>
          <w:szCs w:val="24"/>
        </w:rPr>
        <w:t>who</w:t>
      </w:r>
      <w:r w:rsidR="006A52EE">
        <w:rPr>
          <w:rFonts w:ascii="Garamond" w:hAnsi="Garamond" w:cs="Times New Roman"/>
          <w:sz w:val="24"/>
          <w:szCs w:val="24"/>
        </w:rPr>
        <w:t>se</w:t>
      </w:r>
      <w:r w:rsidR="00D35928">
        <w:rPr>
          <w:rFonts w:ascii="Garamond" w:hAnsi="Garamond" w:cs="Times New Roman"/>
          <w:sz w:val="24"/>
          <w:szCs w:val="24"/>
        </w:rPr>
        <w:t xml:space="preserve"> eligibility is not reinstated after their first appeal, </w:t>
      </w:r>
      <w:r w:rsidR="006A52EE">
        <w:rPr>
          <w:rFonts w:ascii="Garamond" w:hAnsi="Garamond" w:cs="Times New Roman"/>
          <w:sz w:val="24"/>
          <w:szCs w:val="24"/>
        </w:rPr>
        <w:t>cannot submit a second</w:t>
      </w:r>
      <w:r w:rsidR="00D35928">
        <w:rPr>
          <w:rFonts w:ascii="Garamond" w:hAnsi="Garamond" w:cs="Times New Roman"/>
          <w:sz w:val="24"/>
          <w:szCs w:val="24"/>
        </w:rPr>
        <w:t xml:space="preserve"> appeal</w:t>
      </w:r>
      <w:r w:rsidR="006A52EE">
        <w:rPr>
          <w:rFonts w:ascii="Garamond" w:hAnsi="Garamond" w:cs="Times New Roman"/>
          <w:sz w:val="24"/>
          <w:szCs w:val="24"/>
        </w:rPr>
        <w:t xml:space="preserve"> based on dif</w:t>
      </w:r>
      <w:r w:rsidR="00D35928">
        <w:rPr>
          <w:rFonts w:ascii="Garamond" w:hAnsi="Garamond" w:cs="Times New Roman"/>
          <w:sz w:val="24"/>
          <w:szCs w:val="24"/>
        </w:rPr>
        <w:t>ferent grounds in the same year.</w:t>
      </w:r>
    </w:p>
    <w:p w14:paraId="65C27F8E" w14:textId="77777777" w:rsidR="00625F1A" w:rsidRDefault="00625F1A" w:rsidP="00D35928">
      <w:pPr>
        <w:spacing w:after="0" w:line="240" w:lineRule="auto"/>
        <w:rPr>
          <w:rFonts w:ascii="Garamond" w:hAnsi="Garamond" w:cs="Times New Roman"/>
          <w:sz w:val="24"/>
          <w:szCs w:val="24"/>
        </w:rPr>
      </w:pPr>
    </w:p>
    <w:p w14:paraId="59998BAE" w14:textId="3E679DC0" w:rsidR="009B4853" w:rsidRDefault="00D35928" w:rsidP="00625F1A">
      <w:pPr>
        <w:spacing w:after="0" w:line="240" w:lineRule="auto"/>
      </w:pPr>
      <w:r>
        <w:rPr>
          <w:rFonts w:ascii="Garamond" w:hAnsi="Garamond" w:cs="Times New Roman"/>
          <w:sz w:val="24"/>
          <w:szCs w:val="24"/>
        </w:rPr>
        <w:t>Students may submit an appeal each time they are notified they have lost eligibility for US Direct Loans due to SAP.</w:t>
      </w:r>
    </w:p>
    <w:sectPr w:rsidR="009B485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B9F5" w16cex:dateUtc="2020-12-01T17:47:00Z"/>
  <w16cex:commentExtensible w16cex:durableId="2370BA88" w16cex:dateUtc="2020-12-01T17:50:00Z"/>
  <w16cex:commentExtensible w16cex:durableId="2370DC55" w16cex:dateUtc="2020-12-01T20:14:00Z"/>
  <w16cex:commentExtensible w16cex:durableId="2370DDA0" w16cex:dateUtc="2020-12-01T20:20:00Z"/>
  <w16cex:commentExtensible w16cex:durableId="2370E5ED" w16cex:dateUtc="2020-12-01T20:55:00Z"/>
  <w16cex:commentExtensible w16cex:durableId="2370E66B" w16cex:dateUtc="2020-12-01T20:57:00Z"/>
  <w16cex:commentExtensible w16cex:durableId="2370E691" w16cex:dateUtc="2020-12-01T20:58:00Z"/>
  <w16cex:commentExtensible w16cex:durableId="2370E6AD" w16cex:dateUtc="2020-12-01T20:58:00Z"/>
  <w16cex:commentExtensible w16cex:durableId="2370E6F1" w16cex:dateUtc="2020-12-01T20:59:00Z"/>
  <w16cex:commentExtensible w16cex:durableId="2370E711" w16cex:dateUtc="2020-12-01T21: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7CF"/>
    <w:multiLevelType w:val="hybridMultilevel"/>
    <w:tmpl w:val="3ECC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D44EF"/>
    <w:multiLevelType w:val="hybridMultilevel"/>
    <w:tmpl w:val="9C561CB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20C13CA3"/>
    <w:multiLevelType w:val="hybridMultilevel"/>
    <w:tmpl w:val="F32C6360"/>
    <w:lvl w:ilvl="0" w:tplc="61509CCE">
      <w:start w:val="12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0F4485C"/>
    <w:multiLevelType w:val="hybridMultilevel"/>
    <w:tmpl w:val="6DCEF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4C725A"/>
    <w:multiLevelType w:val="multilevel"/>
    <w:tmpl w:val="583A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615697"/>
    <w:multiLevelType w:val="hybridMultilevel"/>
    <w:tmpl w:val="6AC2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F0A48"/>
    <w:multiLevelType w:val="hybridMultilevel"/>
    <w:tmpl w:val="3C7C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E4"/>
    <w:rsid w:val="00001422"/>
    <w:rsid w:val="00002B6A"/>
    <w:rsid w:val="00035233"/>
    <w:rsid w:val="000E6F11"/>
    <w:rsid w:val="001404FA"/>
    <w:rsid w:val="00141A97"/>
    <w:rsid w:val="001B3CE4"/>
    <w:rsid w:val="001D29B0"/>
    <w:rsid w:val="00300B17"/>
    <w:rsid w:val="00304E17"/>
    <w:rsid w:val="00357F94"/>
    <w:rsid w:val="00367F66"/>
    <w:rsid w:val="003857F3"/>
    <w:rsid w:val="003E2FC5"/>
    <w:rsid w:val="003F1364"/>
    <w:rsid w:val="003F6D88"/>
    <w:rsid w:val="00484F34"/>
    <w:rsid w:val="00520F97"/>
    <w:rsid w:val="005B6A5B"/>
    <w:rsid w:val="00625F1A"/>
    <w:rsid w:val="00675776"/>
    <w:rsid w:val="006866D0"/>
    <w:rsid w:val="006A52EE"/>
    <w:rsid w:val="00713D82"/>
    <w:rsid w:val="00727BB5"/>
    <w:rsid w:val="00762B1F"/>
    <w:rsid w:val="007C31F7"/>
    <w:rsid w:val="008D5DD4"/>
    <w:rsid w:val="008D73FA"/>
    <w:rsid w:val="00946516"/>
    <w:rsid w:val="009B084D"/>
    <w:rsid w:val="009B4853"/>
    <w:rsid w:val="00AB48FB"/>
    <w:rsid w:val="00B148D8"/>
    <w:rsid w:val="00BB2E7E"/>
    <w:rsid w:val="00BD68BD"/>
    <w:rsid w:val="00C82444"/>
    <w:rsid w:val="00CB191F"/>
    <w:rsid w:val="00D35928"/>
    <w:rsid w:val="00D467B2"/>
    <w:rsid w:val="00DA5926"/>
    <w:rsid w:val="00E0435C"/>
    <w:rsid w:val="00E349C9"/>
    <w:rsid w:val="00E74A5C"/>
    <w:rsid w:val="00E8656B"/>
    <w:rsid w:val="00ED5B2A"/>
    <w:rsid w:val="00F41103"/>
    <w:rsid w:val="00F439E1"/>
    <w:rsid w:val="00F55284"/>
    <w:rsid w:val="00F72AB8"/>
    <w:rsid w:val="00F8276E"/>
    <w:rsid w:val="00F90B21"/>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1110"/>
  <w15:chartTrackingRefBased/>
  <w15:docId w15:val="{68752FC7-1C60-46F8-948A-71F4C0B5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A5B"/>
    <w:pPr>
      <w:spacing w:after="0" w:line="240" w:lineRule="auto"/>
      <w:ind w:left="720"/>
      <w:contextualSpacing/>
    </w:pPr>
    <w:rPr>
      <w:rFonts w:eastAsiaTheme="minorEastAsia"/>
      <w:sz w:val="24"/>
      <w:szCs w:val="24"/>
    </w:rPr>
  </w:style>
  <w:style w:type="character" w:styleId="Strong">
    <w:name w:val="Strong"/>
    <w:basedOn w:val="DefaultParagraphFont"/>
    <w:uiPriority w:val="22"/>
    <w:qFormat/>
    <w:rsid w:val="007C31F7"/>
    <w:rPr>
      <w:b/>
      <w:bCs/>
    </w:rPr>
  </w:style>
  <w:style w:type="table" w:styleId="TableGrid">
    <w:name w:val="Table Grid"/>
    <w:basedOn w:val="TableNormal"/>
    <w:uiPriority w:val="39"/>
    <w:rsid w:val="0000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F94"/>
    <w:rPr>
      <w:sz w:val="16"/>
      <w:szCs w:val="16"/>
    </w:rPr>
  </w:style>
  <w:style w:type="paragraph" w:styleId="CommentText">
    <w:name w:val="annotation text"/>
    <w:basedOn w:val="Normal"/>
    <w:link w:val="CommentTextChar"/>
    <w:semiHidden/>
    <w:unhideWhenUsed/>
    <w:rsid w:val="00357F94"/>
    <w:pPr>
      <w:spacing w:line="240" w:lineRule="auto"/>
    </w:pPr>
    <w:rPr>
      <w:sz w:val="20"/>
      <w:szCs w:val="20"/>
    </w:rPr>
  </w:style>
  <w:style w:type="character" w:customStyle="1" w:styleId="CommentTextChar">
    <w:name w:val="Comment Text Char"/>
    <w:basedOn w:val="DefaultParagraphFont"/>
    <w:link w:val="CommentText"/>
    <w:semiHidden/>
    <w:rsid w:val="00357F94"/>
    <w:rPr>
      <w:sz w:val="20"/>
      <w:szCs w:val="20"/>
    </w:rPr>
  </w:style>
  <w:style w:type="paragraph" w:styleId="CommentSubject">
    <w:name w:val="annotation subject"/>
    <w:basedOn w:val="CommentText"/>
    <w:next w:val="CommentText"/>
    <w:link w:val="CommentSubjectChar"/>
    <w:uiPriority w:val="99"/>
    <w:semiHidden/>
    <w:unhideWhenUsed/>
    <w:rsid w:val="00357F94"/>
    <w:rPr>
      <w:b/>
      <w:bCs/>
    </w:rPr>
  </w:style>
  <w:style w:type="character" w:customStyle="1" w:styleId="CommentSubjectChar">
    <w:name w:val="Comment Subject Char"/>
    <w:basedOn w:val="CommentTextChar"/>
    <w:link w:val="CommentSubject"/>
    <w:uiPriority w:val="99"/>
    <w:semiHidden/>
    <w:rsid w:val="00357F94"/>
    <w:rPr>
      <w:b/>
      <w:bCs/>
      <w:sz w:val="20"/>
      <w:szCs w:val="20"/>
    </w:rPr>
  </w:style>
  <w:style w:type="paragraph" w:styleId="BalloonText">
    <w:name w:val="Balloon Text"/>
    <w:basedOn w:val="Normal"/>
    <w:link w:val="BalloonTextChar"/>
    <w:uiPriority w:val="99"/>
    <w:semiHidden/>
    <w:unhideWhenUsed/>
    <w:rsid w:val="0035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2830">
      <w:bodyDiv w:val="1"/>
      <w:marLeft w:val="0"/>
      <w:marRight w:val="0"/>
      <w:marTop w:val="0"/>
      <w:marBottom w:val="0"/>
      <w:divBdr>
        <w:top w:val="none" w:sz="0" w:space="0" w:color="auto"/>
        <w:left w:val="none" w:sz="0" w:space="0" w:color="auto"/>
        <w:bottom w:val="none" w:sz="0" w:space="0" w:color="auto"/>
        <w:right w:val="none" w:sz="0" w:space="0" w:color="auto"/>
      </w:divBdr>
    </w:div>
    <w:div w:id="292056431">
      <w:bodyDiv w:val="1"/>
      <w:marLeft w:val="0"/>
      <w:marRight w:val="0"/>
      <w:marTop w:val="0"/>
      <w:marBottom w:val="0"/>
      <w:divBdr>
        <w:top w:val="none" w:sz="0" w:space="0" w:color="auto"/>
        <w:left w:val="none" w:sz="0" w:space="0" w:color="auto"/>
        <w:bottom w:val="none" w:sz="0" w:space="0" w:color="auto"/>
        <w:right w:val="none" w:sz="0" w:space="0" w:color="auto"/>
      </w:divBdr>
    </w:div>
    <w:div w:id="561597352">
      <w:bodyDiv w:val="1"/>
      <w:marLeft w:val="0"/>
      <w:marRight w:val="0"/>
      <w:marTop w:val="0"/>
      <w:marBottom w:val="0"/>
      <w:divBdr>
        <w:top w:val="none" w:sz="0" w:space="0" w:color="auto"/>
        <w:left w:val="none" w:sz="0" w:space="0" w:color="auto"/>
        <w:bottom w:val="none" w:sz="0" w:space="0" w:color="auto"/>
        <w:right w:val="none" w:sz="0" w:space="0" w:color="auto"/>
      </w:divBdr>
    </w:div>
    <w:div w:id="654188210">
      <w:bodyDiv w:val="1"/>
      <w:marLeft w:val="0"/>
      <w:marRight w:val="0"/>
      <w:marTop w:val="0"/>
      <w:marBottom w:val="0"/>
      <w:divBdr>
        <w:top w:val="none" w:sz="0" w:space="0" w:color="auto"/>
        <w:left w:val="none" w:sz="0" w:space="0" w:color="auto"/>
        <w:bottom w:val="none" w:sz="0" w:space="0" w:color="auto"/>
        <w:right w:val="none" w:sz="0" w:space="0" w:color="auto"/>
      </w:divBdr>
    </w:div>
    <w:div w:id="993723872">
      <w:bodyDiv w:val="1"/>
      <w:marLeft w:val="0"/>
      <w:marRight w:val="0"/>
      <w:marTop w:val="0"/>
      <w:marBottom w:val="0"/>
      <w:divBdr>
        <w:top w:val="none" w:sz="0" w:space="0" w:color="auto"/>
        <w:left w:val="none" w:sz="0" w:space="0" w:color="auto"/>
        <w:bottom w:val="none" w:sz="0" w:space="0" w:color="auto"/>
        <w:right w:val="none" w:sz="0" w:space="0" w:color="auto"/>
      </w:divBdr>
    </w:div>
    <w:div w:id="1016882804">
      <w:bodyDiv w:val="1"/>
      <w:marLeft w:val="0"/>
      <w:marRight w:val="0"/>
      <w:marTop w:val="0"/>
      <w:marBottom w:val="0"/>
      <w:divBdr>
        <w:top w:val="none" w:sz="0" w:space="0" w:color="auto"/>
        <w:left w:val="none" w:sz="0" w:space="0" w:color="auto"/>
        <w:bottom w:val="none" w:sz="0" w:space="0" w:color="auto"/>
        <w:right w:val="none" w:sz="0" w:space="0" w:color="auto"/>
      </w:divBdr>
    </w:div>
    <w:div w:id="1078527164">
      <w:bodyDiv w:val="1"/>
      <w:marLeft w:val="0"/>
      <w:marRight w:val="0"/>
      <w:marTop w:val="0"/>
      <w:marBottom w:val="0"/>
      <w:divBdr>
        <w:top w:val="none" w:sz="0" w:space="0" w:color="auto"/>
        <w:left w:val="none" w:sz="0" w:space="0" w:color="auto"/>
        <w:bottom w:val="none" w:sz="0" w:space="0" w:color="auto"/>
        <w:right w:val="none" w:sz="0" w:space="0" w:color="auto"/>
      </w:divBdr>
    </w:div>
    <w:div w:id="1103260613">
      <w:bodyDiv w:val="1"/>
      <w:marLeft w:val="0"/>
      <w:marRight w:val="0"/>
      <w:marTop w:val="0"/>
      <w:marBottom w:val="0"/>
      <w:divBdr>
        <w:top w:val="none" w:sz="0" w:space="0" w:color="auto"/>
        <w:left w:val="none" w:sz="0" w:space="0" w:color="auto"/>
        <w:bottom w:val="none" w:sz="0" w:space="0" w:color="auto"/>
        <w:right w:val="none" w:sz="0" w:space="0" w:color="auto"/>
      </w:divBdr>
    </w:div>
    <w:div w:id="1140876596">
      <w:bodyDiv w:val="1"/>
      <w:marLeft w:val="0"/>
      <w:marRight w:val="0"/>
      <w:marTop w:val="0"/>
      <w:marBottom w:val="0"/>
      <w:divBdr>
        <w:top w:val="none" w:sz="0" w:space="0" w:color="auto"/>
        <w:left w:val="none" w:sz="0" w:space="0" w:color="auto"/>
        <w:bottom w:val="none" w:sz="0" w:space="0" w:color="auto"/>
        <w:right w:val="none" w:sz="0" w:space="0" w:color="auto"/>
      </w:divBdr>
    </w:div>
    <w:div w:id="1341736832">
      <w:bodyDiv w:val="1"/>
      <w:marLeft w:val="0"/>
      <w:marRight w:val="0"/>
      <w:marTop w:val="0"/>
      <w:marBottom w:val="0"/>
      <w:divBdr>
        <w:top w:val="none" w:sz="0" w:space="0" w:color="auto"/>
        <w:left w:val="none" w:sz="0" w:space="0" w:color="auto"/>
        <w:bottom w:val="none" w:sz="0" w:space="0" w:color="auto"/>
        <w:right w:val="none" w:sz="0" w:space="0" w:color="auto"/>
      </w:divBdr>
      <w:divsChild>
        <w:div w:id="682249093">
          <w:marLeft w:val="0"/>
          <w:marRight w:val="0"/>
          <w:marTop w:val="0"/>
          <w:marBottom w:val="0"/>
          <w:divBdr>
            <w:top w:val="none" w:sz="0" w:space="0" w:color="auto"/>
            <w:left w:val="none" w:sz="0" w:space="0" w:color="auto"/>
            <w:bottom w:val="none" w:sz="0" w:space="0" w:color="auto"/>
            <w:right w:val="none" w:sz="0" w:space="0" w:color="auto"/>
          </w:divBdr>
          <w:divsChild>
            <w:div w:id="1352610957">
              <w:marLeft w:val="0"/>
              <w:marRight w:val="0"/>
              <w:marTop w:val="0"/>
              <w:marBottom w:val="0"/>
              <w:divBdr>
                <w:top w:val="none" w:sz="0" w:space="0" w:color="auto"/>
                <w:left w:val="none" w:sz="0" w:space="0" w:color="auto"/>
                <w:bottom w:val="none" w:sz="0" w:space="0" w:color="auto"/>
                <w:right w:val="none" w:sz="0" w:space="0" w:color="auto"/>
              </w:divBdr>
              <w:divsChild>
                <w:div w:id="115638193">
                  <w:marLeft w:val="0"/>
                  <w:marRight w:val="0"/>
                  <w:marTop w:val="0"/>
                  <w:marBottom w:val="15"/>
                  <w:divBdr>
                    <w:top w:val="none" w:sz="0" w:space="0" w:color="auto"/>
                    <w:left w:val="none" w:sz="0" w:space="0" w:color="auto"/>
                    <w:bottom w:val="none" w:sz="0" w:space="0" w:color="auto"/>
                    <w:right w:val="none" w:sz="0" w:space="0" w:color="auto"/>
                  </w:divBdr>
                  <w:divsChild>
                    <w:div w:id="23558569">
                      <w:marLeft w:val="150"/>
                      <w:marRight w:val="0"/>
                      <w:marTop w:val="0"/>
                      <w:marBottom w:val="0"/>
                      <w:divBdr>
                        <w:top w:val="none" w:sz="0" w:space="0" w:color="auto"/>
                        <w:left w:val="none" w:sz="0" w:space="0" w:color="auto"/>
                        <w:bottom w:val="none" w:sz="0" w:space="0" w:color="auto"/>
                        <w:right w:val="none" w:sz="0" w:space="0" w:color="auto"/>
                      </w:divBdr>
                      <w:divsChild>
                        <w:div w:id="1577129465">
                          <w:marLeft w:val="0"/>
                          <w:marRight w:val="0"/>
                          <w:marTop w:val="0"/>
                          <w:marBottom w:val="225"/>
                          <w:divBdr>
                            <w:top w:val="none" w:sz="0" w:space="0" w:color="auto"/>
                            <w:left w:val="none" w:sz="0" w:space="0" w:color="auto"/>
                            <w:bottom w:val="none" w:sz="0" w:space="0" w:color="auto"/>
                            <w:right w:val="none" w:sz="0" w:space="0" w:color="auto"/>
                          </w:divBdr>
                          <w:divsChild>
                            <w:div w:id="4320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Cody</dc:creator>
  <cp:keywords/>
  <dc:description/>
  <cp:lastModifiedBy>Alison Stark</cp:lastModifiedBy>
  <cp:revision>2</cp:revision>
  <dcterms:created xsi:type="dcterms:W3CDTF">2020-12-15T00:01:00Z</dcterms:created>
  <dcterms:modified xsi:type="dcterms:W3CDTF">2020-12-15T00:01:00Z</dcterms:modified>
</cp:coreProperties>
</file>