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4304" w14:textId="77777777" w:rsidR="001050C8" w:rsidRDefault="001050C8"/>
    <w:p w14:paraId="4D7796AB" w14:textId="35CBD10D" w:rsidR="00F73840" w:rsidRPr="00F950C5" w:rsidRDefault="000603CF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Diploma</w:t>
      </w:r>
      <w:r w:rsidR="00F73840"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D45175">
        <w:rPr>
          <w:rFonts w:ascii="Franklin Gothic Book" w:hAnsi="Franklin Gothic Book"/>
          <w:color w:val="00539B"/>
          <w:sz w:val="36"/>
          <w:szCs w:val="36"/>
        </w:rPr>
        <w:t>Business Administration</w:t>
      </w:r>
      <w:r w:rsidR="00393B15">
        <w:rPr>
          <w:rFonts w:ascii="Franklin Gothic Book" w:hAnsi="Franklin Gothic Book"/>
          <w:color w:val="00539B"/>
          <w:sz w:val="36"/>
          <w:szCs w:val="36"/>
        </w:rPr>
        <w:t xml:space="preserve"> 202</w:t>
      </w:r>
      <w:r w:rsidR="00434423">
        <w:rPr>
          <w:rFonts w:ascii="Franklin Gothic Book" w:hAnsi="Franklin Gothic Book"/>
          <w:color w:val="00539B"/>
          <w:sz w:val="36"/>
          <w:szCs w:val="36"/>
        </w:rPr>
        <w:t>3</w:t>
      </w:r>
      <w:r w:rsidR="00393B15">
        <w:rPr>
          <w:rFonts w:ascii="Franklin Gothic Book" w:hAnsi="Franklin Gothic Book"/>
          <w:color w:val="00539B"/>
          <w:sz w:val="36"/>
          <w:szCs w:val="36"/>
        </w:rPr>
        <w:t>/202</w:t>
      </w:r>
      <w:r w:rsidR="00434423">
        <w:rPr>
          <w:rFonts w:ascii="Franklin Gothic Book" w:hAnsi="Franklin Gothic Book"/>
          <w:color w:val="00539B"/>
          <w:sz w:val="36"/>
          <w:szCs w:val="36"/>
        </w:rPr>
        <w:t>4</w:t>
      </w:r>
    </w:p>
    <w:p w14:paraId="7FDBEA05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2B008F27" w14:textId="77777777" w:rsidTr="007B79A4">
        <w:trPr>
          <w:trHeight w:val="207"/>
        </w:trPr>
        <w:tc>
          <w:tcPr>
            <w:tcW w:w="790" w:type="pct"/>
            <w:vAlign w:val="bottom"/>
          </w:tcPr>
          <w:p w14:paraId="32ADC218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4EFBEB5C" w14:textId="01139A0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180FDB1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C913DE7" w14:textId="2F6EA954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32FBD598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4F80828A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1CCAE4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BA04FB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1FE75F" w14:textId="4362CCF6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023DF6E6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1E357E65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053E9BF3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D45175">
        <w:rPr>
          <w:rFonts w:ascii="Calibri" w:hAnsi="Calibri" w:cs="Arial"/>
          <w:sz w:val="20"/>
          <w:szCs w:val="20"/>
        </w:rPr>
        <w:t>Business Administration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9D17E2">
        <w:rPr>
          <w:rFonts w:ascii="Calibri" w:hAnsi="Calibri" w:cs="Arial"/>
          <w:sz w:val="20"/>
          <w:szCs w:val="20"/>
        </w:rPr>
        <w:t>Diploma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4DF166AF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351"/>
        <w:gridCol w:w="6912"/>
        <w:gridCol w:w="822"/>
      </w:tblGrid>
      <w:tr w:rsidR="002C726D" w:rsidRPr="002C726D" w14:paraId="5CEB9A60" w14:textId="77777777" w:rsidTr="007065B7">
        <w:trPr>
          <w:trHeight w:val="432"/>
        </w:trPr>
        <w:tc>
          <w:tcPr>
            <w:tcW w:w="790" w:type="pct"/>
            <w:shd w:val="clear" w:color="auto" w:fill="F1FA40"/>
            <w:vAlign w:val="center"/>
          </w:tcPr>
          <w:p w14:paraId="40FD2443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F1FA40"/>
            <w:vAlign w:val="center"/>
          </w:tcPr>
          <w:p w14:paraId="4A64EC44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F1FA40"/>
            <w:vAlign w:val="center"/>
          </w:tcPr>
          <w:p w14:paraId="1CC8C2F3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73125467" w14:textId="77777777" w:rsidTr="00E468E6">
        <w:tc>
          <w:tcPr>
            <w:tcW w:w="790" w:type="pct"/>
          </w:tcPr>
          <w:p w14:paraId="558E3442" w14:textId="405DE43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B77AA95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203" w:type="pct"/>
          </w:tcPr>
          <w:p w14:paraId="48D7F177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1F574C2E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07EDE737" w14:textId="77777777" w:rsidTr="008A2275">
        <w:tc>
          <w:tcPr>
            <w:tcW w:w="790" w:type="pct"/>
          </w:tcPr>
          <w:p w14:paraId="213CEF80" w14:textId="6D08EC91" w:rsidR="00F350C8" w:rsidRPr="002C726D" w:rsidRDefault="00F350C8" w:rsidP="008A22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39BCD38C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2214</w:t>
            </w:r>
          </w:p>
        </w:tc>
        <w:tc>
          <w:tcPr>
            <w:tcW w:w="3203" w:type="pct"/>
          </w:tcPr>
          <w:p w14:paraId="1C0C77BB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Individuals in Organizations</w:t>
            </w:r>
          </w:p>
        </w:tc>
        <w:tc>
          <w:tcPr>
            <w:tcW w:w="381" w:type="pct"/>
          </w:tcPr>
          <w:p w14:paraId="2559FA8E" w14:textId="77777777" w:rsidR="00F350C8" w:rsidRPr="002C726D" w:rsidRDefault="00F350C8" w:rsidP="008A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B63C329" w14:textId="77777777" w:rsidTr="008A2275">
        <w:tc>
          <w:tcPr>
            <w:tcW w:w="790" w:type="pct"/>
          </w:tcPr>
          <w:p w14:paraId="4CCBE359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4DDBA47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2215</w:t>
            </w:r>
          </w:p>
        </w:tc>
        <w:tc>
          <w:tcPr>
            <w:tcW w:w="3203" w:type="pct"/>
          </w:tcPr>
          <w:p w14:paraId="094013AF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Groups, structure and culture</w:t>
            </w:r>
          </w:p>
        </w:tc>
        <w:tc>
          <w:tcPr>
            <w:tcW w:w="381" w:type="pct"/>
          </w:tcPr>
          <w:p w14:paraId="7A3FC489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03401531" w14:textId="77777777" w:rsidTr="008A2275">
        <w:tc>
          <w:tcPr>
            <w:tcW w:w="790" w:type="pct"/>
          </w:tcPr>
          <w:p w14:paraId="3D4304CA" w14:textId="0A6867AC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F1B8DD4" w14:textId="53962C68" w:rsidR="00A74548" w:rsidRPr="002C726D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203" w:type="pct"/>
          </w:tcPr>
          <w:p w14:paraId="6F1CCCB0" w14:textId="01C49403" w:rsidR="00A74548" w:rsidRPr="002C726D" w:rsidRDefault="00A74548" w:rsidP="00A7454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3EE57180" w14:textId="77777777" w:rsidR="00A74548" w:rsidRPr="002C726D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13500E0F" w14:textId="77777777" w:rsidTr="00E468E6">
        <w:tc>
          <w:tcPr>
            <w:tcW w:w="790" w:type="pct"/>
          </w:tcPr>
          <w:p w14:paraId="653FE592" w14:textId="77777777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F57032E" w14:textId="55265775" w:rsidR="00A74548" w:rsidRPr="002C726D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203" w:type="pct"/>
          </w:tcPr>
          <w:p w14:paraId="2821E031" w14:textId="0D52049F" w:rsidR="00A74548" w:rsidRPr="002C726D" w:rsidRDefault="00A74548" w:rsidP="00A7454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36A28188" w14:textId="77777777" w:rsidR="00A74548" w:rsidRPr="002C726D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1586EC45" w14:textId="77777777" w:rsidTr="00D45175">
        <w:tc>
          <w:tcPr>
            <w:tcW w:w="790" w:type="pct"/>
          </w:tcPr>
          <w:p w14:paraId="01380C27" w14:textId="625DE1A9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E36D835" w14:textId="536E5FD7" w:rsidR="00A74548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2259</w:t>
            </w:r>
          </w:p>
        </w:tc>
        <w:tc>
          <w:tcPr>
            <w:tcW w:w="3203" w:type="pct"/>
            <w:shd w:val="clear" w:color="auto" w:fill="auto"/>
          </w:tcPr>
          <w:p w14:paraId="79115141" w14:textId="0D00F5A3" w:rsidR="00A74548" w:rsidRDefault="00A74548" w:rsidP="00A74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Aspects of Business</w:t>
            </w:r>
          </w:p>
        </w:tc>
        <w:tc>
          <w:tcPr>
            <w:tcW w:w="381" w:type="pct"/>
            <w:shd w:val="clear" w:color="auto" w:fill="auto"/>
          </w:tcPr>
          <w:p w14:paraId="2867146A" w14:textId="77777777" w:rsidR="00A74548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851E23B" w14:textId="77777777" w:rsidTr="00D45175">
        <w:tc>
          <w:tcPr>
            <w:tcW w:w="790" w:type="pct"/>
          </w:tcPr>
          <w:p w14:paraId="7422CAA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75C5AD0D" w14:textId="615C7C49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</w:t>
            </w:r>
            <w:r w:rsidR="00A74548">
              <w:rPr>
                <w:sz w:val="20"/>
                <w:szCs w:val="20"/>
              </w:rPr>
              <w:t>321</w:t>
            </w:r>
          </w:p>
        </w:tc>
        <w:tc>
          <w:tcPr>
            <w:tcW w:w="3203" w:type="pct"/>
            <w:shd w:val="clear" w:color="auto" w:fill="auto"/>
          </w:tcPr>
          <w:p w14:paraId="3B8CCF13" w14:textId="2A40409E" w:rsidR="00C70DFF" w:rsidRPr="00492D3A" w:rsidRDefault="00A74548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Accounting I</w:t>
            </w:r>
          </w:p>
        </w:tc>
        <w:tc>
          <w:tcPr>
            <w:tcW w:w="381" w:type="pct"/>
            <w:shd w:val="clear" w:color="auto" w:fill="auto"/>
          </w:tcPr>
          <w:p w14:paraId="23F0CF6A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69229C5" w14:textId="77777777" w:rsidTr="00D45175">
        <w:tc>
          <w:tcPr>
            <w:tcW w:w="790" w:type="pct"/>
          </w:tcPr>
          <w:p w14:paraId="2860F1A3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A22CBE3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3308</w:t>
            </w:r>
          </w:p>
        </w:tc>
        <w:tc>
          <w:tcPr>
            <w:tcW w:w="3203" w:type="pct"/>
            <w:shd w:val="clear" w:color="auto" w:fill="auto"/>
          </w:tcPr>
          <w:p w14:paraId="13F49CDB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Operations Management</w:t>
            </w:r>
          </w:p>
        </w:tc>
        <w:tc>
          <w:tcPr>
            <w:tcW w:w="381" w:type="pct"/>
            <w:shd w:val="clear" w:color="auto" w:fill="auto"/>
          </w:tcPr>
          <w:p w14:paraId="2A324BC9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5C2E1944" w14:textId="77777777" w:rsidTr="00D45175">
        <w:tc>
          <w:tcPr>
            <w:tcW w:w="790" w:type="pct"/>
          </w:tcPr>
          <w:p w14:paraId="10595CE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F4E112A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3320</w:t>
            </w:r>
          </w:p>
        </w:tc>
        <w:tc>
          <w:tcPr>
            <w:tcW w:w="3203" w:type="pct"/>
            <w:shd w:val="clear" w:color="auto" w:fill="auto"/>
          </w:tcPr>
          <w:p w14:paraId="00F54CC8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Managerial Accounting</w:t>
            </w:r>
          </w:p>
        </w:tc>
        <w:tc>
          <w:tcPr>
            <w:tcW w:w="381" w:type="pct"/>
            <w:shd w:val="clear" w:color="auto" w:fill="auto"/>
          </w:tcPr>
          <w:p w14:paraId="5D8F43EF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2F6AC22" w14:textId="77777777" w:rsidTr="00D45175">
        <w:tc>
          <w:tcPr>
            <w:tcW w:w="790" w:type="pct"/>
          </w:tcPr>
          <w:p w14:paraId="6F8C2B27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6F60751F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3360</w:t>
            </w:r>
          </w:p>
        </w:tc>
        <w:tc>
          <w:tcPr>
            <w:tcW w:w="3203" w:type="pct"/>
            <w:shd w:val="clear" w:color="auto" w:fill="auto"/>
          </w:tcPr>
          <w:p w14:paraId="627A0D23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I</w:t>
            </w:r>
          </w:p>
        </w:tc>
        <w:tc>
          <w:tcPr>
            <w:tcW w:w="381" w:type="pct"/>
            <w:shd w:val="clear" w:color="auto" w:fill="auto"/>
          </w:tcPr>
          <w:p w14:paraId="7F56E0B0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AB67E50" w14:textId="77777777" w:rsidTr="00D45175">
        <w:tc>
          <w:tcPr>
            <w:tcW w:w="790" w:type="pct"/>
          </w:tcPr>
          <w:p w14:paraId="0C36794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0D78C56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3361</w:t>
            </w:r>
          </w:p>
        </w:tc>
        <w:tc>
          <w:tcPr>
            <w:tcW w:w="3203" w:type="pct"/>
            <w:shd w:val="clear" w:color="auto" w:fill="auto"/>
          </w:tcPr>
          <w:p w14:paraId="082F762B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II</w:t>
            </w:r>
          </w:p>
        </w:tc>
        <w:tc>
          <w:tcPr>
            <w:tcW w:w="381" w:type="pct"/>
            <w:shd w:val="clear" w:color="auto" w:fill="auto"/>
          </w:tcPr>
          <w:p w14:paraId="1FD50892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B0C7109" w14:textId="77777777" w:rsidTr="0049008E">
        <w:tc>
          <w:tcPr>
            <w:tcW w:w="790" w:type="pct"/>
          </w:tcPr>
          <w:p w14:paraId="5618A285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0A1FB1E5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</w:tcPr>
          <w:p w14:paraId="7CF84F0B" w14:textId="77777777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5CFD4351" w14:textId="77777777" w:rsidR="00C70DFF" w:rsidRDefault="000434DE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FDCE482" w14:textId="77777777" w:rsidTr="00724F5A">
        <w:tc>
          <w:tcPr>
            <w:tcW w:w="790" w:type="pct"/>
          </w:tcPr>
          <w:p w14:paraId="275954B7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2913C06E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</w:tcPr>
          <w:p w14:paraId="75CA0E87" w14:textId="77777777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Macroeconomics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639C57B0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333F796" w14:textId="77777777" w:rsidTr="00724F5A">
        <w:tc>
          <w:tcPr>
            <w:tcW w:w="790" w:type="pct"/>
            <w:tcBorders>
              <w:right w:val="single" w:sz="4" w:space="0" w:color="auto"/>
            </w:tcBorders>
          </w:tcPr>
          <w:p w14:paraId="58374CC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A6528" w14:textId="23C4CD78" w:rsidR="00C70DFF" w:rsidRPr="0049008E" w:rsidRDefault="00C70DFF" w:rsidP="00C70DFF">
            <w:pPr>
              <w:rPr>
                <w:sz w:val="20"/>
                <w:szCs w:val="20"/>
              </w:rPr>
            </w:pPr>
            <w:r w:rsidRPr="0049008E">
              <w:rPr>
                <w:sz w:val="20"/>
                <w:szCs w:val="20"/>
              </w:rPr>
              <w:t>MATH 2208</w:t>
            </w:r>
            <w:r w:rsidR="008E3EF3" w:rsidRPr="00724F5A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2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57A611" w14:textId="389E7392" w:rsidR="00C70DFF" w:rsidRPr="0049008E" w:rsidRDefault="001F6571" w:rsidP="00C70DFF">
            <w:pPr>
              <w:rPr>
                <w:rFonts w:ascii="Calibri" w:hAnsi="Calibri"/>
                <w:sz w:val="20"/>
                <w:szCs w:val="20"/>
              </w:rPr>
            </w:pPr>
            <w:r w:rsidRPr="0049008E">
              <w:rPr>
                <w:rFonts w:ascii="Calibri" w:hAnsi="Calibri"/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18AC1A6" w14:textId="77777777" w:rsidR="00C70DFF" w:rsidRPr="0049008E" w:rsidRDefault="000434DE" w:rsidP="00C70DFF">
            <w:pPr>
              <w:jc w:val="center"/>
              <w:rPr>
                <w:sz w:val="20"/>
                <w:szCs w:val="20"/>
              </w:rPr>
            </w:pPr>
            <w:r w:rsidRPr="0049008E">
              <w:rPr>
                <w:sz w:val="20"/>
                <w:szCs w:val="20"/>
              </w:rPr>
              <w:t>0.5</w:t>
            </w:r>
          </w:p>
        </w:tc>
      </w:tr>
      <w:tr w:rsidR="00C70DFF" w:rsidRPr="002C726D" w14:paraId="2EC2C8F4" w14:textId="77777777" w:rsidTr="00724F5A">
        <w:tc>
          <w:tcPr>
            <w:tcW w:w="790" w:type="pct"/>
            <w:tcBorders>
              <w:right w:val="single" w:sz="4" w:space="0" w:color="auto"/>
            </w:tcBorders>
          </w:tcPr>
          <w:p w14:paraId="2BAE201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</w:tcBorders>
          </w:tcPr>
          <w:p w14:paraId="5212E4A8" w14:textId="500B2BBE" w:rsidR="00C70DFF" w:rsidRPr="0049008E" w:rsidRDefault="00C70DFF" w:rsidP="00C70DFF">
            <w:pPr>
              <w:rPr>
                <w:sz w:val="20"/>
                <w:szCs w:val="20"/>
              </w:rPr>
            </w:pPr>
            <w:r w:rsidRPr="0049008E">
              <w:rPr>
                <w:sz w:val="20"/>
                <w:szCs w:val="20"/>
              </w:rPr>
              <w:t>MATH 2209</w:t>
            </w:r>
            <w:r w:rsidR="008E3EF3" w:rsidRPr="00724F5A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</w:tcPr>
          <w:p w14:paraId="39DADEFE" w14:textId="58DFFB9E" w:rsidR="00C70DFF" w:rsidRPr="0049008E" w:rsidRDefault="001F6571" w:rsidP="00C70DFF">
            <w:pPr>
              <w:rPr>
                <w:sz w:val="20"/>
                <w:szCs w:val="20"/>
              </w:rPr>
            </w:pPr>
            <w:r w:rsidRPr="0049008E">
              <w:rPr>
                <w:rFonts w:ascii="Calibri" w:hAnsi="Calibri"/>
                <w:sz w:val="20"/>
                <w:szCs w:val="20"/>
              </w:rPr>
              <w:t>Introduction to Probability and Statistics II</w:t>
            </w:r>
            <w:r w:rsidR="00434423" w:rsidRPr="004900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A98793" w14:textId="77777777" w:rsidR="00C70DFF" w:rsidRPr="0049008E" w:rsidRDefault="00C70DFF" w:rsidP="00C70DFF">
            <w:pPr>
              <w:jc w:val="center"/>
              <w:rPr>
                <w:sz w:val="20"/>
                <w:szCs w:val="20"/>
              </w:rPr>
            </w:pPr>
            <w:r w:rsidRPr="0049008E">
              <w:rPr>
                <w:sz w:val="20"/>
                <w:szCs w:val="20"/>
              </w:rPr>
              <w:t>0.5</w:t>
            </w:r>
          </w:p>
        </w:tc>
      </w:tr>
      <w:tr w:rsidR="00C70DFF" w:rsidRPr="002C726D" w14:paraId="7F57EC04" w14:textId="77777777" w:rsidTr="00D45175">
        <w:tc>
          <w:tcPr>
            <w:tcW w:w="790" w:type="pct"/>
          </w:tcPr>
          <w:p w14:paraId="01A3F51D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9FEFD0E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163EB950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3D767E90" w14:textId="77777777" w:rsidTr="00D45175">
        <w:tc>
          <w:tcPr>
            <w:tcW w:w="790" w:type="pct"/>
          </w:tcPr>
          <w:p w14:paraId="6B06559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6D0F6FE1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0443F0B8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402703B" w14:textId="77777777" w:rsidTr="00D45175">
        <w:tc>
          <w:tcPr>
            <w:tcW w:w="790" w:type="pct"/>
          </w:tcPr>
          <w:p w14:paraId="05E22B3D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50A17D3B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5E4E1181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800F2" w:rsidRPr="002C726D" w14:paraId="4739CD4D" w14:textId="77777777" w:rsidTr="00D45175">
        <w:tc>
          <w:tcPr>
            <w:tcW w:w="790" w:type="pct"/>
          </w:tcPr>
          <w:p w14:paraId="61A40FBA" w14:textId="77777777" w:rsidR="001800F2" w:rsidRPr="002C726D" w:rsidRDefault="001800F2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6DFC4CA0" w14:textId="5F1BC866" w:rsidR="001800F2" w:rsidRPr="008D4EF4" w:rsidRDefault="001800F2" w:rsidP="00C70DFF">
            <w:pPr>
              <w:rPr>
                <w:rFonts w:ascii="Calibri" w:hAnsi="Calibri"/>
                <w:sz w:val="20"/>
                <w:szCs w:val="20"/>
              </w:rPr>
            </w:pPr>
            <w:r w:rsidRPr="008D4EF4">
              <w:rPr>
                <w:rFonts w:ascii="Calibri" w:hAnsi="Calibri"/>
                <w:sz w:val="20"/>
                <w:szCs w:val="20"/>
              </w:rPr>
              <w:t>Business</w:t>
            </w:r>
            <w:r w:rsidR="006C3CE4">
              <w:rPr>
                <w:rFonts w:ascii="Calibri" w:hAnsi="Calibri"/>
                <w:sz w:val="20"/>
                <w:szCs w:val="20"/>
              </w:rPr>
              <w:t xml:space="preserve"> elective</w:t>
            </w:r>
            <w:r w:rsidRPr="008D4EF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3149236" w14:textId="3A1BA70A" w:rsidR="001800F2" w:rsidRPr="008D4EF4" w:rsidRDefault="001800F2" w:rsidP="00C70DFF">
            <w:pPr>
              <w:jc w:val="center"/>
              <w:rPr>
                <w:sz w:val="20"/>
                <w:szCs w:val="20"/>
              </w:rPr>
            </w:pPr>
            <w:r w:rsidRPr="008D4EF4">
              <w:rPr>
                <w:sz w:val="20"/>
                <w:szCs w:val="20"/>
              </w:rPr>
              <w:t>0.5</w:t>
            </w:r>
          </w:p>
        </w:tc>
      </w:tr>
      <w:tr w:rsidR="00C70DFF" w:rsidRPr="002C726D" w14:paraId="11CD1BC2" w14:textId="77777777" w:rsidTr="00D45175">
        <w:tc>
          <w:tcPr>
            <w:tcW w:w="790" w:type="pct"/>
          </w:tcPr>
          <w:p w14:paraId="1C9876A1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200BC73F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7EE77DAC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25349570" w14:textId="77777777" w:rsidTr="00D45175">
        <w:tc>
          <w:tcPr>
            <w:tcW w:w="790" w:type="pct"/>
          </w:tcPr>
          <w:p w14:paraId="04AEA717" w14:textId="46A708BB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3B4CC704" w14:textId="2EEC745A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Arts/</w:t>
            </w:r>
            <w:r w:rsidR="001F6571">
              <w:rPr>
                <w:rFonts w:ascii="Calibri" w:hAnsi="Calibri"/>
                <w:sz w:val="20"/>
                <w:szCs w:val="20"/>
              </w:rPr>
              <w:t xml:space="preserve">Science elective      </w:t>
            </w:r>
          </w:p>
        </w:tc>
        <w:tc>
          <w:tcPr>
            <w:tcW w:w="381" w:type="pct"/>
            <w:shd w:val="clear" w:color="auto" w:fill="auto"/>
          </w:tcPr>
          <w:p w14:paraId="0B7BBDFF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1F0B28D1" w14:textId="77777777" w:rsidTr="00D45175">
        <w:tc>
          <w:tcPr>
            <w:tcW w:w="790" w:type="pct"/>
          </w:tcPr>
          <w:p w14:paraId="6D55AD32" w14:textId="1106BCD6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AE24A42" w14:textId="7C2119A4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</w:t>
            </w:r>
          </w:p>
        </w:tc>
        <w:tc>
          <w:tcPr>
            <w:tcW w:w="381" w:type="pct"/>
            <w:shd w:val="clear" w:color="auto" w:fill="auto"/>
          </w:tcPr>
          <w:p w14:paraId="26477974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B909578" w14:textId="77777777" w:rsidTr="00D45175">
        <w:tc>
          <w:tcPr>
            <w:tcW w:w="790" w:type="pct"/>
          </w:tcPr>
          <w:p w14:paraId="0A298CF5" w14:textId="4A871B7C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77113ADD" w14:textId="370C776E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</w:t>
            </w:r>
            <w:r w:rsidR="00925C8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81" w:type="pct"/>
            <w:shd w:val="clear" w:color="auto" w:fill="auto"/>
          </w:tcPr>
          <w:p w14:paraId="6B0C2266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C0AA9E3" w14:textId="77777777" w:rsidTr="00D45175">
        <w:tc>
          <w:tcPr>
            <w:tcW w:w="790" w:type="pct"/>
          </w:tcPr>
          <w:p w14:paraId="04C30486" w14:textId="3C36314C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89139AF" w14:textId="3B9389CA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</w:t>
            </w:r>
            <w:r>
              <w:rPr>
                <w:rFonts w:ascii="Calibri" w:hAnsi="Calibri"/>
                <w:sz w:val="20"/>
                <w:szCs w:val="20"/>
              </w:rPr>
              <w:t xml:space="preserve">(at the 2000 level or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above)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Pr="00492D3A">
              <w:rPr>
                <w:rFonts w:ascii="Calibri" w:hAnsi="Calibr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81" w:type="pct"/>
            <w:shd w:val="clear" w:color="auto" w:fill="auto"/>
          </w:tcPr>
          <w:p w14:paraId="065EC07A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A0245FE" w14:textId="77777777" w:rsidTr="007065B7">
        <w:trPr>
          <w:trHeight w:val="432"/>
        </w:trPr>
        <w:tc>
          <w:tcPr>
            <w:tcW w:w="4619" w:type="pct"/>
            <w:gridSpan w:val="3"/>
            <w:shd w:val="clear" w:color="auto" w:fill="F1FA40"/>
            <w:vAlign w:val="center"/>
          </w:tcPr>
          <w:p w14:paraId="402451B1" w14:textId="77777777" w:rsidR="00C70DFF" w:rsidRPr="002C726D" w:rsidRDefault="00C70DFF" w:rsidP="00C70DFF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F1FA40"/>
            <w:vAlign w:val="center"/>
          </w:tcPr>
          <w:p w14:paraId="4C5EC040" w14:textId="77777777" w:rsidR="00C70DFF" w:rsidRPr="002C726D" w:rsidRDefault="000434DE" w:rsidP="00043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70DFF"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0394A4AD" w14:textId="2A53B54E" w:rsidR="00376E9A" w:rsidRPr="00376E9A" w:rsidRDefault="00376E9A" w:rsidP="00376E9A">
      <w:pPr>
        <w:numPr>
          <w:ilvl w:val="0"/>
          <w:numId w:val="6"/>
        </w:numPr>
        <w:ind w:left="180" w:hanging="180"/>
        <w:rPr>
          <w:rFonts w:ascii="Garamond" w:hAnsi="Garamond" w:cs="Calibri"/>
          <w:sz w:val="20"/>
          <w:szCs w:val="20"/>
        </w:rPr>
      </w:pPr>
      <w:bookmarkStart w:id="0" w:name="_Hlk93394371"/>
      <w:r w:rsidRPr="00376E9A">
        <w:rPr>
          <w:rFonts w:ascii="Garamond" w:hAnsi="Garamond" w:cs="Calibri"/>
          <w:sz w:val="20"/>
          <w:szCs w:val="20"/>
        </w:rPr>
        <w:t>Students may not count Economics (ECON) courses as arts and science electives. Please consult an academic advisor if you are unsure which courses count as arts and science electives</w:t>
      </w:r>
    </w:p>
    <w:p w14:paraId="2A9A519C" w14:textId="7FC11EC5" w:rsidR="00376E9A" w:rsidRPr="00376E9A" w:rsidRDefault="00376E9A" w:rsidP="00376E9A">
      <w:pPr>
        <w:pBdr>
          <w:bottom w:val="single" w:sz="4" w:space="1" w:color="auto"/>
        </w:pBdr>
        <w:rPr>
          <w:rFonts w:ascii="Garamond" w:hAnsi="Garamond" w:cs="Arial"/>
          <w:sz w:val="20"/>
          <w:szCs w:val="20"/>
        </w:rPr>
      </w:pPr>
      <w:r w:rsidRPr="00376E9A">
        <w:rPr>
          <w:rFonts w:ascii="Garamond" w:hAnsi="Garamond"/>
          <w:color w:val="000000"/>
          <w:sz w:val="20"/>
          <w:szCs w:val="20"/>
          <w:highlight w:val="yellow"/>
        </w:rPr>
        <w:t>*</w:t>
      </w:r>
      <w:r w:rsidRPr="00376E9A">
        <w:rPr>
          <w:rFonts w:ascii="Garamond" w:hAnsi="Garamond"/>
          <w:color w:val="000000"/>
          <w:sz w:val="20"/>
          <w:szCs w:val="20"/>
          <w:highlight w:val="yellow"/>
        </w:rPr>
        <w:t xml:space="preserve"> </w:t>
      </w:r>
      <w:r w:rsidRPr="00376E9A">
        <w:rPr>
          <w:rFonts w:ascii="Garamond" w:hAnsi="Garamond"/>
          <w:i/>
          <w:iCs/>
          <w:color w:val="000000"/>
          <w:sz w:val="20"/>
          <w:szCs w:val="20"/>
          <w:highlight w:val="yellow"/>
        </w:rPr>
        <w:t>Students who pass a Mathematics Placement Test and obtain Chair’s approval can take Math 2500 and a free elective in place of Math 2208 and Math 2209</w:t>
      </w:r>
    </w:p>
    <w:p w14:paraId="685F49AD" w14:textId="77777777" w:rsidR="00376E9A" w:rsidRDefault="00376E9A" w:rsidP="00376E9A">
      <w:pPr>
        <w:ind w:left="180"/>
        <w:rPr>
          <w:rFonts w:ascii="Calibri" w:hAnsi="Calibri" w:cs="Calibri"/>
          <w:sz w:val="16"/>
          <w:szCs w:val="16"/>
        </w:rPr>
      </w:pPr>
    </w:p>
    <w:p w14:paraId="42EE7D60" w14:textId="77777777" w:rsidR="00376E9A" w:rsidRDefault="00376E9A" w:rsidP="006D0854">
      <w:pPr>
        <w:rPr>
          <w:rFonts w:ascii="Calibri" w:hAnsi="Calibri" w:cs="Arial"/>
          <w:sz w:val="20"/>
          <w:szCs w:val="20"/>
        </w:rPr>
      </w:pPr>
    </w:p>
    <w:p w14:paraId="651F6329" w14:textId="267B8FD2" w:rsidR="00E27140" w:rsidRDefault="00E27140" w:rsidP="006D0854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D494041" w14:textId="24905D77" w:rsidR="00E27140" w:rsidRPr="002B6764" w:rsidRDefault="00E27140" w:rsidP="006D0854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bookmarkEnd w:id="0"/>
    <w:p w14:paraId="34C3587A" w14:textId="6672DFEF" w:rsidR="00BE5AF5" w:rsidRDefault="00BE5AF5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6005C08B" w14:textId="57B883D7" w:rsidR="00E27140" w:rsidRDefault="00E27140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5CA6A5CC" w14:textId="00336306" w:rsidR="00E27140" w:rsidRDefault="00E27140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17A2992D" w14:textId="77777777" w:rsidR="00646C7E" w:rsidRPr="005A4EDD" w:rsidRDefault="00646C7E" w:rsidP="00646C7E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This form is intended to be a helpful guide for students. It is the students’ responsibility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to ensure that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they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5082743B" w14:textId="37B1CAA2" w:rsidR="00646C7E" w:rsidRPr="00646C7E" w:rsidRDefault="00646C7E" w:rsidP="00646C7E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  <w:lang w:val="en-CA"/>
        </w:rPr>
      </w:pPr>
    </w:p>
    <w:p w14:paraId="3AB78277" w14:textId="77777777" w:rsidR="00646C7E" w:rsidRPr="002B6764" w:rsidRDefault="00646C7E" w:rsidP="002B6764">
      <w:pPr>
        <w:rPr>
          <w:rFonts w:ascii="Calibri" w:hAnsi="Calibri" w:cs="Arial"/>
          <w:sz w:val="20"/>
          <w:szCs w:val="20"/>
        </w:rPr>
      </w:pPr>
    </w:p>
    <w:p w14:paraId="60B554DA" w14:textId="77777777" w:rsidR="00BE5AF5" w:rsidRPr="000F3FEE" w:rsidRDefault="00BE5AF5" w:rsidP="00BE5AF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Diploma</w:t>
      </w:r>
      <w:r w:rsidRPr="000F3FEE">
        <w:rPr>
          <w:rFonts w:ascii="Calibri" w:hAnsi="Calibri" w:cs="Arial"/>
          <w:b/>
        </w:rPr>
        <w:t xml:space="preserve"> Admission: </w:t>
      </w:r>
    </w:p>
    <w:p w14:paraId="2785107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Students can enroll in the Diploma in Business Administration program as a separate program or concurrently with another Mount Program. </w:t>
      </w:r>
      <w:r w:rsidRPr="000603CF">
        <w:rPr>
          <w:rFonts w:ascii="Calibri" w:hAnsi="Calibri" w:cs="Arial"/>
          <w:sz w:val="20"/>
          <w:szCs w:val="20"/>
        </w:rPr>
        <w:t xml:space="preserve">Both the diploma and degree may be taken concurrently. 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p w14:paraId="36D5032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24E63D1E" w14:textId="6A6B86DB" w:rsidR="00BE5AF5" w:rsidRDefault="00BE5AF5" w:rsidP="00BE5AF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Diploma in Business Administration program are the same as for the Bachelor in Business Administration. Please refer to academic calendar. </w:t>
      </w:r>
    </w:p>
    <w:p w14:paraId="28855983" w14:textId="77777777" w:rsidR="00344890" w:rsidRPr="00A3492F" w:rsidRDefault="00344890" w:rsidP="00344890">
      <w:pPr>
        <w:rPr>
          <w:rFonts w:ascii="Calibri" w:hAnsi="Calibri" w:cs="Arial"/>
          <w:sz w:val="20"/>
          <w:szCs w:val="20"/>
        </w:rPr>
      </w:pPr>
    </w:p>
    <w:p w14:paraId="599AECB7" w14:textId="77777777" w:rsidR="00681064" w:rsidRDefault="00681064" w:rsidP="00681064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students wishing to graduate with a Certificate or Diploma in Tourism and Hospitality Management, and later continue on to complete the Bachelor of Tourism and Hospitality Management degree program at MSVU need to</w:t>
      </w:r>
      <w: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2FC374DA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78669793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 w:rsidRPr="000752BD">
        <w:rPr>
          <w:rFonts w:ascii="Calibri" w:hAnsi="Calibri" w:cs="Arial"/>
          <w:sz w:val="20"/>
          <w:szCs w:val="20"/>
        </w:rPr>
        <w:t>The objective of the diploma program in business administration is to increase and enrich the knowledge acquired during the certificate program in business administration.</w:t>
      </w:r>
    </w:p>
    <w:p w14:paraId="12D1CE1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15DB897E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 w:rsidRPr="005E7562">
        <w:rPr>
          <w:rFonts w:ascii="Calibri" w:hAnsi="Calibri" w:cs="Arial"/>
          <w:sz w:val="20"/>
          <w:szCs w:val="20"/>
        </w:rPr>
        <w:t xml:space="preserve">The </w:t>
      </w:r>
      <w:r>
        <w:rPr>
          <w:rFonts w:ascii="Calibri" w:hAnsi="Calibri" w:cs="Arial"/>
          <w:sz w:val="20"/>
          <w:szCs w:val="20"/>
        </w:rPr>
        <w:t>diploma</w:t>
      </w:r>
      <w:r w:rsidRPr="005E7562">
        <w:rPr>
          <w:rFonts w:ascii="Calibri" w:hAnsi="Calibri" w:cs="Arial"/>
          <w:sz w:val="20"/>
          <w:szCs w:val="20"/>
        </w:rPr>
        <w:t xml:space="preserve"> may be completed through distance learning on a part-time or full-time basis.</w:t>
      </w:r>
    </w:p>
    <w:p w14:paraId="22367167" w14:textId="77777777" w:rsidR="00BE5AF5" w:rsidRPr="005E7562" w:rsidRDefault="00BE5AF5" w:rsidP="0079415B">
      <w:pPr>
        <w:rPr>
          <w:rFonts w:ascii="Calibri" w:hAnsi="Calibri" w:cs="Arial"/>
          <w:sz w:val="16"/>
          <w:szCs w:val="16"/>
        </w:rPr>
      </w:pPr>
    </w:p>
    <w:p w14:paraId="7996B45F" w14:textId="77777777" w:rsidR="00070EDD" w:rsidRPr="00070EDD" w:rsidRDefault="00070EDD" w:rsidP="00070EDD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sectPr w:rsidR="00070EDD" w:rsidRPr="00070EDD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2EF4" w14:textId="77777777" w:rsidR="00F73840" w:rsidRDefault="00F73840">
      <w:r>
        <w:separator/>
      </w:r>
    </w:p>
  </w:endnote>
  <w:endnote w:type="continuationSeparator" w:id="0">
    <w:p w14:paraId="624D27BE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43D1" w14:textId="77A4744F" w:rsidR="00907A5B" w:rsidRPr="00907A5B" w:rsidRDefault="00907A5B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907A5B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</w:t>
    </w:r>
    <w:r w:rsidR="0049008E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9CBF" w14:textId="77777777" w:rsidR="00F73840" w:rsidRDefault="00F73840">
      <w:r>
        <w:separator/>
      </w:r>
    </w:p>
  </w:footnote>
  <w:footnote w:type="continuationSeparator" w:id="0">
    <w:p w14:paraId="3D96AB18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613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37961" wp14:editId="71C4524E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39672E6" wp14:editId="0DC29F13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D6E"/>
    <w:multiLevelType w:val="hybridMultilevel"/>
    <w:tmpl w:val="56E4FA8E"/>
    <w:lvl w:ilvl="0" w:tplc="F49226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348C"/>
    <w:multiLevelType w:val="hybridMultilevel"/>
    <w:tmpl w:val="5CA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20570"/>
    <w:multiLevelType w:val="hybridMultilevel"/>
    <w:tmpl w:val="772EC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9873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DQwN7K0sDAxMzdR0lEKTi0uzszPAykwrQUAEPN7TSwAAAA="/>
  </w:docVars>
  <w:rsids>
    <w:rsidRoot w:val="00F73840"/>
    <w:rsid w:val="00040691"/>
    <w:rsid w:val="000434DE"/>
    <w:rsid w:val="0005228B"/>
    <w:rsid w:val="00054D82"/>
    <w:rsid w:val="000550C6"/>
    <w:rsid w:val="000603CF"/>
    <w:rsid w:val="00070EDD"/>
    <w:rsid w:val="000752BD"/>
    <w:rsid w:val="0008262D"/>
    <w:rsid w:val="000A7584"/>
    <w:rsid w:val="000C3B79"/>
    <w:rsid w:val="000F3FEE"/>
    <w:rsid w:val="001050C8"/>
    <w:rsid w:val="00136E98"/>
    <w:rsid w:val="0014334A"/>
    <w:rsid w:val="00150517"/>
    <w:rsid w:val="001800F2"/>
    <w:rsid w:val="001A5E3A"/>
    <w:rsid w:val="001B276E"/>
    <w:rsid w:val="001D5CA9"/>
    <w:rsid w:val="001E075D"/>
    <w:rsid w:val="001F6571"/>
    <w:rsid w:val="00225179"/>
    <w:rsid w:val="002B2B48"/>
    <w:rsid w:val="002B6764"/>
    <w:rsid w:val="002C726D"/>
    <w:rsid w:val="00325BAB"/>
    <w:rsid w:val="00340B9E"/>
    <w:rsid w:val="00344799"/>
    <w:rsid w:val="00344890"/>
    <w:rsid w:val="00352CEE"/>
    <w:rsid w:val="00376E9A"/>
    <w:rsid w:val="00383F2B"/>
    <w:rsid w:val="0039203F"/>
    <w:rsid w:val="00393B15"/>
    <w:rsid w:val="00397A95"/>
    <w:rsid w:val="003B5885"/>
    <w:rsid w:val="003C3A7F"/>
    <w:rsid w:val="003D13A1"/>
    <w:rsid w:val="00434423"/>
    <w:rsid w:val="0043672C"/>
    <w:rsid w:val="0049008E"/>
    <w:rsid w:val="00490CA2"/>
    <w:rsid w:val="004A0488"/>
    <w:rsid w:val="004B0848"/>
    <w:rsid w:val="004E123C"/>
    <w:rsid w:val="005E7562"/>
    <w:rsid w:val="005F31E9"/>
    <w:rsid w:val="00605F22"/>
    <w:rsid w:val="00646C7E"/>
    <w:rsid w:val="00647124"/>
    <w:rsid w:val="00652B30"/>
    <w:rsid w:val="00671DD2"/>
    <w:rsid w:val="00681064"/>
    <w:rsid w:val="006A10E5"/>
    <w:rsid w:val="006A46AA"/>
    <w:rsid w:val="006A5F35"/>
    <w:rsid w:val="006A747B"/>
    <w:rsid w:val="006B1486"/>
    <w:rsid w:val="006C3CE4"/>
    <w:rsid w:val="006C7328"/>
    <w:rsid w:val="006D0854"/>
    <w:rsid w:val="006F79C6"/>
    <w:rsid w:val="007065B7"/>
    <w:rsid w:val="00724F5A"/>
    <w:rsid w:val="00741E49"/>
    <w:rsid w:val="0079415B"/>
    <w:rsid w:val="00797344"/>
    <w:rsid w:val="007B79A4"/>
    <w:rsid w:val="007C13E3"/>
    <w:rsid w:val="00810436"/>
    <w:rsid w:val="00812611"/>
    <w:rsid w:val="00842A06"/>
    <w:rsid w:val="00844C10"/>
    <w:rsid w:val="0088160B"/>
    <w:rsid w:val="00883997"/>
    <w:rsid w:val="00885647"/>
    <w:rsid w:val="008D4EF4"/>
    <w:rsid w:val="008E3EF3"/>
    <w:rsid w:val="008F3D2B"/>
    <w:rsid w:val="00907A5B"/>
    <w:rsid w:val="00907F82"/>
    <w:rsid w:val="00925C87"/>
    <w:rsid w:val="00933188"/>
    <w:rsid w:val="009517BB"/>
    <w:rsid w:val="009845FB"/>
    <w:rsid w:val="009B5886"/>
    <w:rsid w:val="009D17E2"/>
    <w:rsid w:val="00A077A4"/>
    <w:rsid w:val="00A74548"/>
    <w:rsid w:val="00A850DF"/>
    <w:rsid w:val="00A91439"/>
    <w:rsid w:val="00AE1AF2"/>
    <w:rsid w:val="00AF3806"/>
    <w:rsid w:val="00AF7C03"/>
    <w:rsid w:val="00B2313B"/>
    <w:rsid w:val="00B34961"/>
    <w:rsid w:val="00B47048"/>
    <w:rsid w:val="00B76DA6"/>
    <w:rsid w:val="00BE5AF5"/>
    <w:rsid w:val="00BE7CEF"/>
    <w:rsid w:val="00BF69A1"/>
    <w:rsid w:val="00C44C8B"/>
    <w:rsid w:val="00C70DFF"/>
    <w:rsid w:val="00CB1E4B"/>
    <w:rsid w:val="00CE3140"/>
    <w:rsid w:val="00D01CE8"/>
    <w:rsid w:val="00D12060"/>
    <w:rsid w:val="00D1450D"/>
    <w:rsid w:val="00D22AA2"/>
    <w:rsid w:val="00D45175"/>
    <w:rsid w:val="00DA4A56"/>
    <w:rsid w:val="00DC6ED1"/>
    <w:rsid w:val="00DD62AD"/>
    <w:rsid w:val="00E27140"/>
    <w:rsid w:val="00E468E6"/>
    <w:rsid w:val="00E57CA0"/>
    <w:rsid w:val="00E92920"/>
    <w:rsid w:val="00EB1E4C"/>
    <w:rsid w:val="00EE6C5C"/>
    <w:rsid w:val="00EF64FF"/>
    <w:rsid w:val="00F350C8"/>
    <w:rsid w:val="00F35C00"/>
    <w:rsid w:val="00F55A18"/>
    <w:rsid w:val="00F73840"/>
    <w:rsid w:val="00F82347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ddd,silver"/>
    </o:shapedefaults>
    <o:shapelayout v:ext="edit">
      <o:idmap v:ext="edit" data="1"/>
    </o:shapelayout>
  </w:shapeDefaults>
  <w:decimalSymbol w:val="."/>
  <w:listSeparator w:val=","/>
  <w14:docId w14:val="5D75E581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344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6D55B-8C43-42B5-8199-B2C4A362CD0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FB02CA-73A5-4DB9-B95C-04F8A716C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Jessica Ferguson</cp:lastModifiedBy>
  <cp:revision>2</cp:revision>
  <cp:lastPrinted>2023-08-29T17:25:00Z</cp:lastPrinted>
  <dcterms:created xsi:type="dcterms:W3CDTF">2024-02-21T20:19:00Z</dcterms:created>
  <dcterms:modified xsi:type="dcterms:W3CDTF">2024-02-21T20:19:00Z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