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652F" w14:textId="77777777" w:rsidR="00EC151A" w:rsidRPr="00F1469F" w:rsidRDefault="00EC151A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F1469F">
        <w:rPr>
          <w:rFonts w:asciiTheme="minorHAnsi" w:hAnsiTheme="minorHAnsi" w:cstheme="minorHAnsi"/>
          <w:sz w:val="48"/>
          <w:szCs w:val="48"/>
          <w:lang w:val="en-GB"/>
        </w:rPr>
        <w:tab/>
      </w:r>
      <w:r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>M</w:t>
      </w:r>
      <w:r w:rsidR="00FE517B"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>IN</w:t>
      </w:r>
      <w:r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>OR</w:t>
      </w:r>
      <w:r w:rsidR="00FE517B"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 in </w:t>
      </w:r>
      <w:r w:rsidR="00076C14"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>WRITING</w:t>
      </w:r>
      <w:r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 </w:t>
      </w:r>
    </w:p>
    <w:p w14:paraId="32F58A86" w14:textId="77777777" w:rsidR="00821E73" w:rsidRPr="001F20E5" w:rsidRDefault="00821E73">
      <w:pPr>
        <w:rPr>
          <w:rFonts w:asciiTheme="minorHAnsi" w:hAnsiTheme="minorHAnsi" w:cstheme="minorHAnsi"/>
          <w:lang w:val="en-GB"/>
        </w:rPr>
      </w:pPr>
    </w:p>
    <w:p w14:paraId="10D01757" w14:textId="7E502A52" w:rsidR="00EC151A" w:rsidRPr="001F20E5" w:rsidRDefault="00EC151A" w:rsidP="00076C14">
      <w:pPr>
        <w:rPr>
          <w:rFonts w:asciiTheme="minorHAnsi" w:hAnsiTheme="minorHAnsi" w:cstheme="minorHAnsi"/>
          <w:i/>
          <w:iCs/>
          <w:lang w:val="en-GB"/>
        </w:rPr>
      </w:pPr>
      <w:r w:rsidRPr="001F20E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1F20E5">
        <w:rPr>
          <w:rFonts w:asciiTheme="minorHAnsi" w:hAnsiTheme="minorHAnsi" w:cstheme="minorHAnsi"/>
          <w:lang w:val="en-GB"/>
        </w:rPr>
        <w:tab/>
      </w:r>
      <w:r w:rsidRPr="001F20E5">
        <w:rPr>
          <w:rFonts w:asciiTheme="minorHAnsi" w:hAnsiTheme="minorHAnsi" w:cstheme="minorHAnsi"/>
          <w:lang w:val="en-GB"/>
        </w:rPr>
        <w:tab/>
      </w:r>
      <w:r w:rsidR="00076C14" w:rsidRPr="001F20E5">
        <w:rPr>
          <w:rFonts w:asciiTheme="minorHAnsi" w:hAnsiTheme="minorHAnsi" w:cstheme="minorHAnsi"/>
          <w:b/>
          <w:bCs/>
          <w:lang w:val="en-GB"/>
        </w:rPr>
        <w:t>WRIT 1120</w:t>
      </w:r>
      <w:r w:rsidR="00501F5D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501F5D" w:rsidRPr="001F20E5">
        <w:rPr>
          <w:rFonts w:asciiTheme="minorHAnsi" w:hAnsiTheme="minorHAnsi" w:cstheme="minorHAnsi"/>
          <w:i/>
          <w:iCs/>
        </w:rPr>
        <w:t>The Writing Process: Theory and Practice</w:t>
      </w:r>
    </w:p>
    <w:p w14:paraId="1A1C2439" w14:textId="77777777" w:rsidR="00EC151A" w:rsidRPr="001F20E5" w:rsidRDefault="00EC151A">
      <w:pPr>
        <w:rPr>
          <w:rFonts w:asciiTheme="minorHAnsi" w:hAnsiTheme="minorHAnsi" w:cstheme="minorHAnsi"/>
          <w:lang w:val="en-GB"/>
        </w:rPr>
      </w:pPr>
    </w:p>
    <w:p w14:paraId="6B5DBA88" w14:textId="51D53386" w:rsidR="00501F5D" w:rsidRPr="001F20E5" w:rsidRDefault="00EC151A" w:rsidP="00501F5D">
      <w:pPr>
        <w:ind w:left="1440" w:hanging="1440"/>
        <w:rPr>
          <w:rFonts w:asciiTheme="minorHAnsi" w:hAnsiTheme="minorHAnsi" w:cstheme="minorHAnsi"/>
        </w:rPr>
      </w:pPr>
      <w:r w:rsidRPr="001F20E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1F20E5">
        <w:rPr>
          <w:rFonts w:asciiTheme="minorHAnsi" w:hAnsiTheme="minorHAnsi" w:cstheme="minorHAnsi"/>
          <w:lang w:val="en-GB"/>
        </w:rPr>
        <w:tab/>
      </w:r>
      <w:r w:rsidR="00EC15CE" w:rsidRPr="001F20E5">
        <w:rPr>
          <w:rFonts w:asciiTheme="minorHAnsi" w:hAnsiTheme="minorHAnsi" w:cstheme="minorHAnsi"/>
          <w:b/>
          <w:bCs/>
          <w:lang w:val="en-GB"/>
        </w:rPr>
        <w:t>2.5</w:t>
      </w:r>
      <w:r w:rsidR="00510263" w:rsidRPr="001F20E5">
        <w:rPr>
          <w:rFonts w:asciiTheme="minorHAnsi" w:hAnsiTheme="minorHAnsi" w:cstheme="minorHAnsi"/>
          <w:b/>
          <w:bCs/>
          <w:lang w:val="en-GB"/>
        </w:rPr>
        <w:t xml:space="preserve"> unit</w:t>
      </w:r>
      <w:r w:rsidR="000E5783" w:rsidRPr="001F20E5">
        <w:rPr>
          <w:rFonts w:asciiTheme="minorHAnsi" w:hAnsiTheme="minorHAnsi" w:cstheme="minorHAnsi"/>
          <w:b/>
          <w:bCs/>
          <w:lang w:val="en-GB"/>
        </w:rPr>
        <w:t>s</w:t>
      </w:r>
      <w:r w:rsidRPr="001F20E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076C14" w:rsidRPr="001F20E5">
        <w:rPr>
          <w:rFonts w:asciiTheme="minorHAnsi" w:hAnsiTheme="minorHAnsi" w:cstheme="minorHAnsi"/>
          <w:b/>
          <w:bCs/>
          <w:lang w:val="en-GB"/>
        </w:rPr>
        <w:t>at 2000 level or above from WRIT, ENGL/WRIT, LIBR 2100, or WRIT/COMM 3512</w:t>
      </w:r>
      <w:r w:rsidR="00501F5D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933AF2">
        <w:rPr>
          <w:rFonts w:asciiTheme="minorHAnsi" w:hAnsiTheme="minorHAnsi" w:cstheme="minorHAnsi"/>
        </w:rPr>
        <w:t>or</w:t>
      </w:r>
      <w:r w:rsidR="00501F5D" w:rsidRPr="001F20E5">
        <w:rPr>
          <w:rFonts w:asciiTheme="minorHAnsi" w:hAnsiTheme="minorHAnsi" w:cstheme="minorHAnsi"/>
        </w:rPr>
        <w:t xml:space="preserve"> either ENGL 4407/WOMS 4407/GWGS 6607 or ENGL 4408. </w:t>
      </w:r>
    </w:p>
    <w:p w14:paraId="32E94DE7" w14:textId="77777777" w:rsidR="001F20E5" w:rsidRDefault="001F20E5" w:rsidP="001F20E5">
      <w:pPr>
        <w:ind w:left="1440"/>
        <w:rPr>
          <w:rFonts w:asciiTheme="minorHAnsi" w:hAnsiTheme="minorHAnsi" w:cstheme="minorHAnsi"/>
        </w:rPr>
      </w:pPr>
    </w:p>
    <w:p w14:paraId="2DC3F940" w14:textId="220BA193" w:rsidR="00C94CEE" w:rsidRDefault="00501F5D" w:rsidP="00C94CEE">
      <w:pPr>
        <w:ind w:left="1440"/>
        <w:rPr>
          <w:rFonts w:asciiTheme="minorHAnsi" w:hAnsiTheme="minorHAnsi" w:cstheme="minorHAnsi"/>
        </w:rPr>
      </w:pPr>
      <w:r w:rsidRPr="001F20E5">
        <w:rPr>
          <w:rFonts w:asciiTheme="minorHAnsi" w:hAnsiTheme="minorHAnsi" w:cstheme="minorHAnsi"/>
        </w:rPr>
        <w:t xml:space="preserve">Students may </w:t>
      </w:r>
      <w:r w:rsidRPr="008F0FD2">
        <w:rPr>
          <w:rFonts w:asciiTheme="minorHAnsi" w:hAnsiTheme="minorHAnsi" w:cstheme="minorHAnsi"/>
          <w:u w:val="single"/>
        </w:rPr>
        <w:t>not</w:t>
      </w:r>
      <w:r w:rsidRPr="001F20E5">
        <w:rPr>
          <w:rFonts w:asciiTheme="minorHAnsi" w:hAnsiTheme="minorHAnsi" w:cstheme="minorHAnsi"/>
        </w:rPr>
        <w:t xml:space="preserve"> take both ENGL 4407/WOMS 4407/GWGS 6607 and ENGL 4408 toward the minor in Writing.</w:t>
      </w:r>
      <w:r w:rsidR="00C94CEE">
        <w:rPr>
          <w:rFonts w:asciiTheme="minorHAnsi" w:hAnsiTheme="minorHAnsi" w:cstheme="minorHAnsi"/>
        </w:rPr>
        <w:t xml:space="preserve"> However, s</w:t>
      </w:r>
      <w:r w:rsidR="00C94CEE" w:rsidRPr="001F20E5">
        <w:rPr>
          <w:rFonts w:asciiTheme="minorHAnsi" w:hAnsiTheme="minorHAnsi" w:cstheme="minorHAnsi"/>
        </w:rPr>
        <w:t xml:space="preserve">tudents </w:t>
      </w:r>
      <w:r w:rsidR="00C94CEE">
        <w:rPr>
          <w:rFonts w:asciiTheme="minorHAnsi" w:hAnsiTheme="minorHAnsi" w:cstheme="minorHAnsi"/>
        </w:rPr>
        <w:t xml:space="preserve">are </w:t>
      </w:r>
      <w:r w:rsidR="00C94CEE" w:rsidRPr="008F0FD2">
        <w:rPr>
          <w:rFonts w:asciiTheme="minorHAnsi" w:hAnsiTheme="minorHAnsi" w:cstheme="minorHAnsi"/>
          <w:u w:val="single"/>
        </w:rPr>
        <w:t>not</w:t>
      </w:r>
      <w:r w:rsidR="00C94CEE">
        <w:rPr>
          <w:rFonts w:asciiTheme="minorHAnsi" w:hAnsiTheme="minorHAnsi" w:cstheme="minorHAnsi"/>
        </w:rPr>
        <w:t xml:space="preserve"> required to take either of these courses</w:t>
      </w:r>
      <w:r w:rsidR="008F0FD2">
        <w:rPr>
          <w:rFonts w:asciiTheme="minorHAnsi" w:hAnsiTheme="minorHAnsi" w:cstheme="minorHAnsi"/>
        </w:rPr>
        <w:t xml:space="preserve"> to complete the Writing minor</w:t>
      </w:r>
      <w:r w:rsidR="00C94CEE">
        <w:rPr>
          <w:rFonts w:asciiTheme="minorHAnsi" w:hAnsiTheme="minorHAnsi" w:cstheme="minorHAnsi"/>
        </w:rPr>
        <w:t>.</w:t>
      </w:r>
    </w:p>
    <w:p w14:paraId="4A24FCCE" w14:textId="523DD275" w:rsidR="00501F5D" w:rsidRPr="00501F5D" w:rsidRDefault="00501F5D" w:rsidP="001F20E5">
      <w:pPr>
        <w:ind w:left="1440"/>
        <w:rPr>
          <w:rFonts w:asciiTheme="minorHAnsi" w:hAnsiTheme="minorHAnsi" w:cstheme="minorHAnsi"/>
          <w:b/>
          <w:bCs/>
          <w:lang w:val="en-GB"/>
        </w:rPr>
      </w:pPr>
    </w:p>
    <w:p w14:paraId="3CE4F8A6" w14:textId="77777777" w:rsidR="00076C14" w:rsidRDefault="00076C14" w:rsidP="00076C14">
      <w:pPr>
        <w:rPr>
          <w:rFonts w:asciiTheme="minorHAnsi" w:hAnsiTheme="minorHAnsi" w:cstheme="minorHAnsi"/>
          <w:b/>
          <w:bCs/>
          <w:lang w:val="en-GB"/>
        </w:rPr>
      </w:pPr>
    </w:p>
    <w:p w14:paraId="14B4A3CA" w14:textId="77777777" w:rsidR="00A4627B" w:rsidRPr="001F20E5" w:rsidRDefault="00A4627B" w:rsidP="00076C14">
      <w:pPr>
        <w:rPr>
          <w:rFonts w:asciiTheme="minorHAnsi" w:hAnsiTheme="minorHAnsi" w:cstheme="minorHAnsi"/>
          <w:b/>
          <w:bCs/>
          <w:lang w:val="en-GB"/>
        </w:rPr>
      </w:pPr>
    </w:p>
    <w:p w14:paraId="3723DCDC" w14:textId="23FBA7DC" w:rsidR="00EC151A" w:rsidRPr="001F20E5" w:rsidRDefault="00076C14" w:rsidP="00076C14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1F20E5">
        <w:rPr>
          <w:rFonts w:asciiTheme="minorHAnsi" w:hAnsiTheme="minorHAnsi" w:cstheme="minorHAnsi"/>
          <w:b/>
          <w:bCs/>
          <w:lang w:val="en-GB"/>
        </w:rPr>
        <w:tab/>
      </w:r>
      <w:r w:rsidRPr="001F20E5">
        <w:rPr>
          <w:rFonts w:asciiTheme="minorHAnsi" w:hAnsiTheme="minorHAnsi" w:cstheme="minorHAnsi"/>
          <w:b/>
          <w:bCs/>
          <w:lang w:val="en-GB"/>
        </w:rPr>
        <w:tab/>
      </w:r>
      <w:r w:rsidR="00EC151A" w:rsidRPr="001F20E5">
        <w:rPr>
          <w:rFonts w:asciiTheme="minorHAnsi" w:hAnsiTheme="minorHAnsi" w:cstheme="minorHAnsi"/>
          <w:b/>
          <w:bCs/>
          <w:u w:val="single"/>
          <w:lang w:val="en-GB"/>
        </w:rPr>
        <w:t xml:space="preserve">                            </w:t>
      </w:r>
      <w:r w:rsidRPr="001F20E5">
        <w:rPr>
          <w:rFonts w:asciiTheme="minorHAnsi" w:hAnsiTheme="minorHAnsi" w:cstheme="minorHAnsi"/>
          <w:b/>
          <w:bCs/>
          <w:lang w:val="en-GB"/>
        </w:rPr>
        <w:tab/>
      </w:r>
      <w:r w:rsidR="001F20E5">
        <w:rPr>
          <w:rFonts w:asciiTheme="minorHAnsi" w:hAnsiTheme="minorHAnsi" w:cstheme="minorHAnsi"/>
          <w:b/>
          <w:bCs/>
          <w:lang w:val="en-GB"/>
        </w:rPr>
        <w:tab/>
      </w:r>
      <w:r w:rsidR="001F20E5" w:rsidRPr="001F20E5">
        <w:rPr>
          <w:rFonts w:asciiTheme="minorHAnsi" w:hAnsiTheme="minorHAnsi" w:cstheme="minorHAnsi"/>
          <w:b/>
          <w:bCs/>
          <w:u w:val="single"/>
          <w:lang w:val="en-GB"/>
        </w:rPr>
        <w:t xml:space="preserve">                            </w:t>
      </w:r>
    </w:p>
    <w:p w14:paraId="75DCB49E" w14:textId="77777777" w:rsidR="00EC151A" w:rsidRPr="001F20E5" w:rsidRDefault="00EC151A">
      <w:pPr>
        <w:rPr>
          <w:rFonts w:asciiTheme="minorHAnsi" w:hAnsiTheme="minorHAnsi" w:cstheme="minorHAnsi"/>
          <w:b/>
          <w:bCs/>
          <w:lang w:val="en-GB"/>
        </w:rPr>
      </w:pPr>
    </w:p>
    <w:p w14:paraId="2F0A034A" w14:textId="77777777" w:rsidR="00EC151A" w:rsidRPr="001F20E5" w:rsidRDefault="00EC151A">
      <w:pPr>
        <w:rPr>
          <w:rFonts w:asciiTheme="minorHAnsi" w:hAnsiTheme="minorHAnsi" w:cstheme="minorHAnsi"/>
          <w:b/>
          <w:bCs/>
          <w:lang w:val="en-GB"/>
        </w:rPr>
      </w:pPr>
    </w:p>
    <w:p w14:paraId="2E2D0B52" w14:textId="368C5D58" w:rsidR="00076C14" w:rsidRPr="001F20E5" w:rsidRDefault="00076C14" w:rsidP="00076C14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1F20E5">
        <w:rPr>
          <w:rFonts w:asciiTheme="minorHAnsi" w:hAnsiTheme="minorHAnsi" w:cstheme="minorHAnsi"/>
          <w:b/>
          <w:bCs/>
          <w:lang w:val="en-GB"/>
        </w:rPr>
        <w:tab/>
      </w:r>
      <w:r w:rsidRPr="001F20E5">
        <w:rPr>
          <w:rFonts w:asciiTheme="minorHAnsi" w:hAnsiTheme="minorHAnsi" w:cstheme="minorHAnsi"/>
          <w:b/>
          <w:bCs/>
          <w:lang w:val="en-GB"/>
        </w:rPr>
        <w:tab/>
      </w:r>
      <w:r w:rsidR="001F20E5" w:rsidRPr="001F20E5">
        <w:rPr>
          <w:rFonts w:asciiTheme="minorHAnsi" w:hAnsiTheme="minorHAnsi" w:cstheme="minorHAnsi"/>
          <w:b/>
          <w:bCs/>
          <w:u w:val="single"/>
          <w:lang w:val="en-GB"/>
        </w:rPr>
        <w:t xml:space="preserve">                            </w:t>
      </w:r>
      <w:r w:rsidR="001F20E5" w:rsidRPr="001F20E5">
        <w:rPr>
          <w:rFonts w:asciiTheme="minorHAnsi" w:hAnsiTheme="minorHAnsi" w:cstheme="minorHAnsi"/>
          <w:b/>
          <w:bCs/>
          <w:lang w:val="en-GB"/>
        </w:rPr>
        <w:tab/>
      </w:r>
      <w:r w:rsidR="001F20E5">
        <w:rPr>
          <w:rFonts w:asciiTheme="minorHAnsi" w:hAnsiTheme="minorHAnsi" w:cstheme="minorHAnsi"/>
          <w:b/>
          <w:bCs/>
          <w:lang w:val="en-GB"/>
        </w:rPr>
        <w:tab/>
      </w:r>
      <w:r w:rsidR="001F20E5" w:rsidRPr="001F20E5">
        <w:rPr>
          <w:rFonts w:asciiTheme="minorHAnsi" w:hAnsiTheme="minorHAnsi" w:cstheme="minorHAnsi"/>
          <w:b/>
          <w:bCs/>
          <w:u w:val="single"/>
          <w:lang w:val="en-GB"/>
        </w:rPr>
        <w:t xml:space="preserve">                            </w:t>
      </w:r>
    </w:p>
    <w:p w14:paraId="11180FAD" w14:textId="77777777" w:rsidR="00EC151A" w:rsidRPr="001F20E5" w:rsidRDefault="00EC151A" w:rsidP="00076C14">
      <w:pPr>
        <w:rPr>
          <w:rFonts w:asciiTheme="minorHAnsi" w:hAnsiTheme="minorHAnsi" w:cstheme="minorHAnsi"/>
          <w:u w:val="single"/>
          <w:lang w:val="en-GB"/>
        </w:rPr>
      </w:pPr>
    </w:p>
    <w:p w14:paraId="631E0CE1" w14:textId="77777777" w:rsidR="00076C14" w:rsidRPr="001F20E5" w:rsidRDefault="00076C14" w:rsidP="00076C14">
      <w:pPr>
        <w:rPr>
          <w:rFonts w:asciiTheme="minorHAnsi" w:hAnsiTheme="minorHAnsi" w:cstheme="minorHAnsi"/>
          <w:u w:val="single"/>
          <w:lang w:val="en-GB"/>
        </w:rPr>
      </w:pPr>
    </w:p>
    <w:p w14:paraId="7AA282C8" w14:textId="1F8D692B" w:rsidR="00076C14" w:rsidRPr="001F20E5" w:rsidRDefault="00076C14" w:rsidP="00076C14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1F20E5">
        <w:rPr>
          <w:rFonts w:asciiTheme="minorHAnsi" w:hAnsiTheme="minorHAnsi" w:cstheme="minorHAnsi"/>
          <w:lang w:val="en-GB"/>
        </w:rPr>
        <w:tab/>
      </w:r>
      <w:r w:rsidRPr="001F20E5">
        <w:rPr>
          <w:rFonts w:asciiTheme="minorHAnsi" w:hAnsiTheme="minorHAnsi" w:cstheme="minorHAnsi"/>
          <w:lang w:val="en-GB"/>
        </w:rPr>
        <w:tab/>
      </w:r>
      <w:r w:rsidR="001F20E5" w:rsidRPr="001F20E5">
        <w:rPr>
          <w:rFonts w:asciiTheme="minorHAnsi" w:hAnsiTheme="minorHAnsi" w:cstheme="minorHAnsi"/>
          <w:b/>
          <w:bCs/>
          <w:u w:val="single"/>
          <w:lang w:val="en-GB"/>
        </w:rPr>
        <w:t xml:space="preserve">                            </w:t>
      </w:r>
      <w:r w:rsidR="001F20E5" w:rsidRPr="001F20E5">
        <w:rPr>
          <w:rFonts w:asciiTheme="minorHAnsi" w:hAnsiTheme="minorHAnsi" w:cstheme="minorHAnsi"/>
          <w:b/>
          <w:bCs/>
          <w:lang w:val="en-GB"/>
        </w:rPr>
        <w:tab/>
      </w:r>
      <w:r w:rsidR="001F20E5">
        <w:rPr>
          <w:rFonts w:asciiTheme="minorHAnsi" w:hAnsiTheme="minorHAnsi" w:cstheme="minorHAnsi"/>
          <w:b/>
          <w:bCs/>
          <w:lang w:val="en-GB"/>
        </w:rPr>
        <w:tab/>
      </w:r>
    </w:p>
    <w:p w14:paraId="478020BA" w14:textId="77777777" w:rsidR="00076C14" w:rsidRPr="001F20E5" w:rsidRDefault="00076C14" w:rsidP="00076C14">
      <w:pPr>
        <w:rPr>
          <w:rFonts w:asciiTheme="minorHAnsi" w:hAnsiTheme="minorHAnsi" w:cstheme="minorHAnsi"/>
          <w:b/>
          <w:bCs/>
          <w:u w:val="single"/>
          <w:lang w:val="en-GB"/>
        </w:rPr>
      </w:pPr>
    </w:p>
    <w:p w14:paraId="1D154D1B" w14:textId="77777777" w:rsidR="001F20E5" w:rsidRDefault="001F20E5" w:rsidP="00076C14">
      <w:pPr>
        <w:ind w:left="720"/>
        <w:rPr>
          <w:rFonts w:asciiTheme="minorHAnsi" w:hAnsiTheme="minorHAnsi" w:cstheme="minorHAnsi"/>
          <w:bCs/>
          <w:i/>
          <w:lang w:val="en-GB"/>
        </w:rPr>
      </w:pPr>
    </w:p>
    <w:p w14:paraId="7DBE3F99" w14:textId="534CC93D" w:rsidR="00630000" w:rsidRDefault="00076C14" w:rsidP="00076C14">
      <w:pPr>
        <w:ind w:left="720"/>
        <w:rPr>
          <w:rFonts w:asciiTheme="minorHAnsi" w:hAnsiTheme="minorHAnsi" w:cstheme="minorHAnsi"/>
          <w:bCs/>
          <w:i/>
          <w:lang w:val="en-GB"/>
        </w:rPr>
      </w:pPr>
      <w:r w:rsidRPr="001F20E5">
        <w:rPr>
          <w:rFonts w:asciiTheme="minorHAnsi" w:hAnsiTheme="minorHAnsi" w:cstheme="minorHAnsi"/>
          <w:bCs/>
          <w:i/>
          <w:lang w:val="en-GB"/>
        </w:rPr>
        <w:t xml:space="preserve">Please note that in Web Advisor you </w:t>
      </w:r>
      <w:proofErr w:type="gramStart"/>
      <w:r w:rsidRPr="001F20E5">
        <w:rPr>
          <w:rFonts w:asciiTheme="minorHAnsi" w:hAnsiTheme="minorHAnsi" w:cstheme="minorHAnsi"/>
          <w:bCs/>
          <w:i/>
          <w:lang w:val="en-GB"/>
        </w:rPr>
        <w:t>have to</w:t>
      </w:r>
      <w:proofErr w:type="gramEnd"/>
      <w:r w:rsidRPr="001F20E5">
        <w:rPr>
          <w:rFonts w:asciiTheme="minorHAnsi" w:hAnsiTheme="minorHAnsi" w:cstheme="minorHAnsi"/>
          <w:bCs/>
          <w:i/>
          <w:lang w:val="en-GB"/>
        </w:rPr>
        <w:t xml:space="preserve"> search under “Writing” or “Library” (not “English”) for Writing minor courses.</w:t>
      </w:r>
    </w:p>
    <w:p w14:paraId="58330937" w14:textId="77777777" w:rsidR="009D1284" w:rsidRDefault="009D1284" w:rsidP="00076C14">
      <w:pPr>
        <w:ind w:left="720"/>
        <w:rPr>
          <w:rFonts w:asciiTheme="minorHAnsi" w:hAnsiTheme="minorHAnsi" w:cstheme="minorHAnsi"/>
          <w:bCs/>
          <w:i/>
          <w:lang w:val="en-GB"/>
        </w:rPr>
      </w:pPr>
    </w:p>
    <w:p w14:paraId="44C8E489" w14:textId="77777777" w:rsidR="009D1284" w:rsidRPr="001F20E5" w:rsidRDefault="009D1284" w:rsidP="00076C14">
      <w:pPr>
        <w:ind w:left="720"/>
        <w:rPr>
          <w:rFonts w:asciiTheme="minorHAnsi" w:hAnsiTheme="minorHAnsi" w:cstheme="minorHAnsi"/>
          <w:bCs/>
          <w:i/>
          <w:lang w:val="en-GB"/>
        </w:rPr>
      </w:pPr>
    </w:p>
    <w:p w14:paraId="3DF39559" w14:textId="1F33F5C3" w:rsidR="00EC15CE" w:rsidRDefault="00EC15CE" w:rsidP="001F20E5">
      <w:pPr>
        <w:rPr>
          <w:rFonts w:asciiTheme="minorHAnsi" w:hAnsiTheme="minorHAnsi" w:cstheme="minorHAnsi"/>
          <w:b/>
          <w:iCs/>
          <w:lang w:val="en-GB"/>
        </w:rPr>
      </w:pPr>
      <w:r w:rsidRPr="001F20E5">
        <w:rPr>
          <w:rFonts w:asciiTheme="minorHAnsi" w:hAnsiTheme="minorHAnsi" w:cstheme="minorHAnsi"/>
          <w:b/>
          <w:iCs/>
          <w:lang w:val="en-GB"/>
        </w:rPr>
        <w:t>TOTAL: 3.0 units</w:t>
      </w:r>
    </w:p>
    <w:p w14:paraId="2E3795AA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22C8366B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24209BDF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6DE36674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36922AE1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7A561D95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7AABE958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666B90B2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1EE3CDD5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7F33B9E3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0AE1D402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4ECC031D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361D85B4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65BC376A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1855D1AD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1CF95F03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354938BC" w14:textId="77777777" w:rsidR="005A3950" w:rsidRPr="00F1469F" w:rsidRDefault="005A3950" w:rsidP="005A3950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F1469F">
        <w:rPr>
          <w:rFonts w:asciiTheme="minorHAnsi" w:hAnsiTheme="minorHAnsi" w:cstheme="minorHAnsi"/>
          <w:sz w:val="48"/>
          <w:szCs w:val="48"/>
          <w:lang w:val="en-GB"/>
        </w:rPr>
        <w:lastRenderedPageBreak/>
        <w:tab/>
      </w:r>
      <w:r w:rsidRPr="00F1469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MINOR in WRITING </w:t>
      </w:r>
    </w:p>
    <w:p w14:paraId="42F3F28C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1EB4DB31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49191856" w14:textId="77777777" w:rsidR="005A3950" w:rsidRPr="001E6314" w:rsidRDefault="005A3950" w:rsidP="005A3950">
      <w:pPr>
        <w:ind w:left="720"/>
        <w:rPr>
          <w:rFonts w:asciiTheme="minorHAnsi" w:hAnsiTheme="minorHAnsi" w:cstheme="minorHAnsi"/>
          <w:bCs/>
          <w:i/>
        </w:rPr>
      </w:pPr>
      <w:r w:rsidRPr="001E6314">
        <w:rPr>
          <w:rFonts w:asciiTheme="minorHAnsi" w:hAnsiTheme="minorHAnsi" w:cstheme="minorHAnsi"/>
          <w:bCs/>
          <w:i/>
        </w:rPr>
        <w:t>Prerequisites for University Study of English</w:t>
      </w:r>
      <w:r>
        <w:rPr>
          <w:rFonts w:asciiTheme="minorHAnsi" w:hAnsiTheme="minorHAnsi" w:cstheme="minorHAnsi"/>
          <w:bCs/>
          <w:i/>
        </w:rPr>
        <w:t>:</w:t>
      </w:r>
    </w:p>
    <w:p w14:paraId="62C78198" w14:textId="77777777" w:rsidR="005A3950" w:rsidRDefault="005A3950" w:rsidP="005A3950">
      <w:pPr>
        <w:ind w:left="720"/>
        <w:rPr>
          <w:rFonts w:asciiTheme="minorHAnsi" w:hAnsiTheme="minorHAnsi" w:cstheme="minorHAnsi"/>
          <w:bCs/>
          <w:iCs/>
        </w:rPr>
      </w:pPr>
    </w:p>
    <w:p w14:paraId="1AC382B5" w14:textId="77777777" w:rsidR="005A3950" w:rsidRPr="005703D1" w:rsidRDefault="005A3950" w:rsidP="005A3950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>Some ENGL and WRIT courses at the 2000 level and above have specific prerequisites stated in the appropriate calendar entry. Otherwise, the following general rules apply:</w:t>
      </w:r>
    </w:p>
    <w:p w14:paraId="597A0F1A" w14:textId="77777777" w:rsidR="005A3950" w:rsidRDefault="005A3950" w:rsidP="005A3950">
      <w:pPr>
        <w:ind w:left="720"/>
        <w:rPr>
          <w:rFonts w:asciiTheme="minorHAnsi" w:hAnsiTheme="minorHAnsi" w:cstheme="minorHAnsi"/>
          <w:bCs/>
          <w:iCs/>
        </w:rPr>
      </w:pPr>
    </w:p>
    <w:p w14:paraId="3AA23EDF" w14:textId="77777777" w:rsidR="005A3950" w:rsidRPr="005703D1" w:rsidRDefault="005A3950" w:rsidP="005A3950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>• Since University study of English literature begins at the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1000 level students should not normally register for ENGL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courses at the 2000 or 3000 level without having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successfully completed 1.0 unit of ENGL at the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introductory (1000) level.</w:t>
      </w:r>
    </w:p>
    <w:p w14:paraId="7D52D676" w14:textId="77777777" w:rsidR="005A3950" w:rsidRDefault="005A3950" w:rsidP="005A3950">
      <w:pPr>
        <w:ind w:left="720"/>
        <w:rPr>
          <w:rFonts w:asciiTheme="minorHAnsi" w:hAnsiTheme="minorHAnsi" w:cstheme="minorHAnsi"/>
          <w:bCs/>
          <w:iCs/>
        </w:rPr>
      </w:pPr>
    </w:p>
    <w:p w14:paraId="6DFA6AD2" w14:textId="35B3A0FD" w:rsidR="005A3950" w:rsidRPr="005703D1" w:rsidRDefault="005A3950" w:rsidP="005A3950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>• Students may register for a 2000</w:t>
      </w:r>
      <w:r w:rsidR="00C94CEE">
        <w:rPr>
          <w:rFonts w:asciiTheme="minorHAnsi" w:hAnsiTheme="minorHAnsi" w:cstheme="minorHAnsi"/>
          <w:bCs/>
          <w:iCs/>
        </w:rPr>
        <w:t>-</w:t>
      </w:r>
      <w:r w:rsidRPr="005703D1">
        <w:rPr>
          <w:rFonts w:asciiTheme="minorHAnsi" w:hAnsiTheme="minorHAnsi" w:cstheme="minorHAnsi"/>
          <w:bCs/>
          <w:iCs/>
        </w:rPr>
        <w:t>level ENGL course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without having completed 1.0 unit of ENGL at the</w:t>
      </w:r>
    </w:p>
    <w:p w14:paraId="4B98C1F8" w14:textId="77777777" w:rsidR="00C94CEE" w:rsidRDefault="005A3950" w:rsidP="00C94CEE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 xml:space="preserve">introductory (1000) level, </w:t>
      </w:r>
      <w:proofErr w:type="gramStart"/>
      <w:r w:rsidRPr="005703D1">
        <w:rPr>
          <w:rFonts w:asciiTheme="minorHAnsi" w:hAnsiTheme="minorHAnsi" w:cstheme="minorHAnsi"/>
          <w:bCs/>
          <w:iCs/>
        </w:rPr>
        <w:t>as long as</w:t>
      </w:r>
      <w:proofErr w:type="gramEnd"/>
      <w:r w:rsidRPr="005703D1">
        <w:rPr>
          <w:rFonts w:asciiTheme="minorHAnsi" w:hAnsiTheme="minorHAnsi" w:cstheme="minorHAnsi"/>
          <w:bCs/>
          <w:iCs/>
        </w:rPr>
        <w:t xml:space="preserve"> they have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successfully completed 5.0 units of university credit.</w:t>
      </w:r>
    </w:p>
    <w:p w14:paraId="08C187EE" w14:textId="77777777" w:rsidR="00C94CEE" w:rsidRDefault="00C94CEE" w:rsidP="00C94CEE">
      <w:pPr>
        <w:ind w:left="720"/>
        <w:rPr>
          <w:rFonts w:asciiTheme="minorHAnsi" w:hAnsiTheme="minorHAnsi" w:cstheme="minorHAnsi"/>
          <w:bCs/>
          <w:iCs/>
        </w:rPr>
      </w:pPr>
    </w:p>
    <w:p w14:paraId="712294FE" w14:textId="19EBFF2A" w:rsidR="00C94CEE" w:rsidRPr="00C94CEE" w:rsidRDefault="00C94CEE" w:rsidP="00C94CEE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 xml:space="preserve">• </w:t>
      </w:r>
      <w:r w:rsidRPr="00C94CEE">
        <w:rPr>
          <w:rFonts w:asciiTheme="minorHAnsi" w:hAnsiTheme="minorHAnsi" w:cstheme="minorHAnsi"/>
          <w:bCs/>
          <w:iCs/>
          <w:lang w:val="en-CA"/>
        </w:rPr>
        <w:t xml:space="preserve">Students enrolled in the major, combined major, combined major with honours, and honours are advised to complete ENGL 2201 and ENGL 2202 before taking </w:t>
      </w:r>
      <w:r w:rsidRPr="00C94CEE">
        <w:rPr>
          <w:rFonts w:asciiTheme="minorHAnsi" w:hAnsiTheme="minorHAnsi" w:cstheme="minorHAnsi"/>
          <w:bCs/>
          <w:iCs/>
        </w:rPr>
        <w:t xml:space="preserve">3000- or 4000-level </w:t>
      </w:r>
      <w:r w:rsidRPr="00C94CEE">
        <w:rPr>
          <w:rFonts w:asciiTheme="minorHAnsi" w:hAnsiTheme="minorHAnsi" w:cstheme="minorHAnsi"/>
          <w:bCs/>
          <w:iCs/>
          <w:lang w:val="en-CA"/>
        </w:rPr>
        <w:t xml:space="preserve">ENGL courses (this recommendation does not apply to students enrolled in the concentration or minor). No one should attempt a </w:t>
      </w:r>
      <w:r w:rsidRPr="00C94CEE">
        <w:rPr>
          <w:rFonts w:asciiTheme="minorHAnsi" w:hAnsiTheme="minorHAnsi" w:cstheme="minorHAnsi"/>
          <w:bCs/>
          <w:iCs/>
        </w:rPr>
        <w:t xml:space="preserve">4000-level </w:t>
      </w:r>
      <w:r w:rsidRPr="00C94CEE">
        <w:rPr>
          <w:rFonts w:asciiTheme="minorHAnsi" w:hAnsiTheme="minorHAnsi" w:cstheme="minorHAnsi"/>
          <w:bCs/>
          <w:iCs/>
          <w:lang w:val="en-CA"/>
        </w:rPr>
        <w:t>ENGL course without having completed 1.0 unit of ENGL at the 2000 level or above.</w:t>
      </w:r>
    </w:p>
    <w:p w14:paraId="46D8E4A5" w14:textId="77777777" w:rsidR="005A3950" w:rsidRDefault="005A3950" w:rsidP="00C94CEE">
      <w:pPr>
        <w:rPr>
          <w:rFonts w:asciiTheme="minorHAnsi" w:hAnsiTheme="minorHAnsi" w:cstheme="minorHAnsi"/>
          <w:bCs/>
          <w:iCs/>
        </w:rPr>
      </w:pPr>
    </w:p>
    <w:p w14:paraId="09C86D41" w14:textId="77777777" w:rsidR="005A3950" w:rsidRPr="005703D1" w:rsidRDefault="005A3950" w:rsidP="005A3950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>• Prerequisites for ENGL/WRIT and WRIT courses are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listed in the calendar descriptions below.</w:t>
      </w:r>
    </w:p>
    <w:p w14:paraId="69140BE3" w14:textId="77777777" w:rsidR="005A3950" w:rsidRDefault="005A3950" w:rsidP="005A3950">
      <w:pPr>
        <w:rPr>
          <w:rFonts w:ascii="Calibri" w:hAnsi="Calibri" w:cs="Calibri"/>
          <w:b/>
          <w:bCs/>
          <w:iCs/>
          <w:lang w:val="en-GB"/>
        </w:rPr>
      </w:pPr>
    </w:p>
    <w:p w14:paraId="0D10680B" w14:textId="77777777" w:rsidR="00DB3C26" w:rsidRPr="001E6314" w:rsidRDefault="00DB3C26" w:rsidP="005A3950">
      <w:pPr>
        <w:rPr>
          <w:rFonts w:ascii="Calibri" w:hAnsi="Calibri" w:cs="Calibri"/>
          <w:b/>
          <w:bCs/>
          <w:iCs/>
          <w:lang w:val="en-GB"/>
        </w:rPr>
      </w:pPr>
    </w:p>
    <w:p w14:paraId="4118E2EC" w14:textId="02E6E4BC" w:rsidR="005A3950" w:rsidRDefault="004651F0" w:rsidP="004651F0">
      <w:pPr>
        <w:ind w:left="720"/>
        <w:rPr>
          <w:rFonts w:ascii="Calibri" w:hAnsi="Calibri" w:cs="Calibri"/>
          <w:b/>
          <w:bCs/>
          <w:iCs/>
          <w:lang w:val="en-GB"/>
        </w:rPr>
      </w:pPr>
      <w:r w:rsidRPr="004651F0">
        <w:rPr>
          <w:rFonts w:asciiTheme="minorHAnsi" w:hAnsiTheme="minorHAnsi" w:cstheme="minorHAnsi"/>
          <w:bCs/>
          <w:i/>
          <w:lang w:val="en-GB"/>
        </w:rPr>
        <w:t xml:space="preserve">To track your whole degree and </w:t>
      </w:r>
      <w:proofErr w:type="gramStart"/>
      <w:r w:rsidRPr="004651F0">
        <w:rPr>
          <w:rFonts w:asciiTheme="minorHAnsi" w:hAnsiTheme="minorHAnsi" w:cstheme="minorHAnsi"/>
          <w:bCs/>
          <w:i/>
          <w:lang w:val="en-GB"/>
        </w:rPr>
        <w:t>all of</w:t>
      </w:r>
      <w:proofErr w:type="gramEnd"/>
      <w:r w:rsidRPr="004651F0">
        <w:rPr>
          <w:rFonts w:asciiTheme="minorHAnsi" w:hAnsiTheme="minorHAnsi" w:cstheme="minorHAnsi"/>
          <w:bCs/>
          <w:i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4651F0">
        <w:rPr>
          <w:rFonts w:asciiTheme="minorHAnsi" w:hAnsiTheme="minorHAnsi" w:cstheme="minorHAnsi"/>
          <w:bCs/>
          <w:i/>
          <w:lang w:val="en-GB"/>
        </w:rPr>
        <w:t>myMount</w:t>
      </w:r>
      <w:proofErr w:type="spellEnd"/>
      <w:r w:rsidRPr="004651F0">
        <w:rPr>
          <w:rFonts w:asciiTheme="minorHAnsi" w:hAnsiTheme="minorHAnsi" w:cstheme="minorHAnsi"/>
          <w:bCs/>
          <w:i/>
          <w:lang w:val="en-GB"/>
        </w:rPr>
        <w:t>.</w:t>
      </w:r>
    </w:p>
    <w:p w14:paraId="72C6614E" w14:textId="77777777" w:rsidR="005A3950" w:rsidRDefault="005A3950" w:rsidP="005A3950">
      <w:pPr>
        <w:rPr>
          <w:rFonts w:ascii="Calibri" w:hAnsi="Calibri" w:cs="Calibri"/>
          <w:b/>
          <w:bCs/>
          <w:iCs/>
          <w:lang w:val="en-GB"/>
        </w:rPr>
      </w:pPr>
    </w:p>
    <w:p w14:paraId="3F8FEAEB" w14:textId="77777777" w:rsidR="005A3950" w:rsidRPr="005703D1" w:rsidRDefault="005A3950" w:rsidP="005A3950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/>
        </w:rPr>
        <w:t>Note</w:t>
      </w:r>
      <w:r>
        <w:rPr>
          <w:rFonts w:asciiTheme="minorHAnsi" w:hAnsiTheme="minorHAnsi" w:cstheme="minorHAnsi"/>
          <w:bCs/>
          <w:iCs/>
        </w:rPr>
        <w:t xml:space="preserve">: </w:t>
      </w:r>
      <w:r w:rsidRPr="005703D1">
        <w:rPr>
          <w:rFonts w:asciiTheme="minorHAnsi" w:hAnsiTheme="minorHAnsi" w:cstheme="minorHAnsi"/>
          <w:bCs/>
          <w:iCs/>
        </w:rPr>
        <w:t>Students may count courses from a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 towards a second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minor; however, students must complete a minimum of 50 percent of unique courses toward the second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minor, unless otherwise stated in the</w:t>
      </w:r>
    </w:p>
    <w:p w14:paraId="0F33FD56" w14:textId="77777777" w:rsidR="005A3950" w:rsidRPr="005703D1" w:rsidRDefault="005A3950" w:rsidP="005A3950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>Calendar.</w:t>
      </w:r>
    </w:p>
    <w:p w14:paraId="76F87B53" w14:textId="77777777" w:rsidR="005A3950" w:rsidRDefault="005A3950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34475349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534A70D9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22EB14CF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185B13E7" w14:textId="63B3C705" w:rsidR="00DD3F43" w:rsidRPr="004651F0" w:rsidRDefault="00DD3F43" w:rsidP="00DB3C26">
      <w:pPr>
        <w:rPr>
          <w:rFonts w:asciiTheme="minorHAnsi" w:hAnsiTheme="minorHAnsi" w:cstheme="minorHAnsi"/>
          <w:bCs/>
          <w:i/>
          <w:lang w:val="en-GB"/>
        </w:rPr>
      </w:pPr>
    </w:p>
    <w:p w14:paraId="0F30DA72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08002BD8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41F62C95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1BC5CAD0" w14:textId="77777777" w:rsidR="00DD3F43" w:rsidRDefault="00DD3F43" w:rsidP="001F20E5">
      <w:pPr>
        <w:rPr>
          <w:rFonts w:asciiTheme="minorHAnsi" w:hAnsiTheme="minorHAnsi" w:cstheme="minorHAnsi"/>
          <w:b/>
          <w:iCs/>
          <w:lang w:val="en-GB"/>
        </w:rPr>
      </w:pPr>
    </w:p>
    <w:p w14:paraId="548867EB" w14:textId="58B52F56" w:rsidR="00DD3F43" w:rsidRPr="00DD3F43" w:rsidRDefault="00DD3F43" w:rsidP="00DD3F43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DD3F43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This information is prepared for the convenience of students in the </w:t>
      </w:r>
      <w:r w:rsidR="009D32CF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Writing</w:t>
      </w:r>
      <w:r w:rsidRPr="00DD3F43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program.  </w:t>
      </w:r>
    </w:p>
    <w:p w14:paraId="4D555291" w14:textId="2BE0FD19" w:rsidR="00DD3F43" w:rsidRPr="00DD3F43" w:rsidRDefault="00DD3F43" w:rsidP="00DD3F43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DD3F43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</w:p>
    <w:p w14:paraId="08ED3E25" w14:textId="77777777" w:rsidR="00DD3F43" w:rsidRPr="00DD3F43" w:rsidRDefault="00DD3F43" w:rsidP="001F20E5">
      <w:pPr>
        <w:rPr>
          <w:rFonts w:asciiTheme="minorHAnsi" w:hAnsiTheme="minorHAnsi" w:cstheme="minorHAnsi"/>
          <w:b/>
          <w:i/>
          <w:lang w:val="en-GB"/>
        </w:rPr>
      </w:pPr>
    </w:p>
    <w:sectPr w:rsidR="00DD3F43" w:rsidRPr="00DD3F43" w:rsidSect="00AF3744">
      <w:footerReference w:type="even" r:id="rId7"/>
      <w:footerReference w:type="default" r:id="rId8"/>
      <w:pgSz w:w="12240" w:h="15840"/>
      <w:pgMar w:top="1440" w:right="720" w:bottom="720" w:left="720" w:header="54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91C8" w14:textId="77777777" w:rsidR="00AF3744" w:rsidRDefault="00AF3744" w:rsidP="00104F5C">
      <w:r>
        <w:separator/>
      </w:r>
    </w:p>
  </w:endnote>
  <w:endnote w:type="continuationSeparator" w:id="0">
    <w:p w14:paraId="5CD934D8" w14:textId="77777777" w:rsidR="00AF3744" w:rsidRDefault="00AF3744" w:rsidP="001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FB08" w14:textId="64B67B3B" w:rsidR="00C94CEE" w:rsidRPr="001F20E5" w:rsidRDefault="00C94CEE" w:rsidP="00C94CEE">
    <w:pPr>
      <w:pStyle w:val="Footer"/>
      <w:rPr>
        <w:rFonts w:asciiTheme="minorHAnsi" w:hAnsiTheme="minorHAnsi" w:cstheme="minorHAnsi"/>
        <w:sz w:val="22"/>
        <w:szCs w:val="22"/>
      </w:rPr>
    </w:pPr>
    <w:r w:rsidRPr="001F20E5">
      <w:rPr>
        <w:rFonts w:asciiTheme="minorHAnsi" w:hAnsiTheme="minorHAnsi" w:cstheme="minorHAnsi"/>
        <w:sz w:val="22"/>
        <w:szCs w:val="22"/>
      </w:rPr>
      <w:t>English Department</w:t>
    </w:r>
    <w:r w:rsidRPr="001F20E5">
      <w:rPr>
        <w:rFonts w:asciiTheme="minorHAnsi" w:hAnsiTheme="minorHAnsi" w:cstheme="minorHAnsi"/>
        <w:sz w:val="22"/>
        <w:szCs w:val="22"/>
      </w:rPr>
      <w:tab/>
    </w:r>
    <w:r w:rsidRPr="001F20E5">
      <w:rPr>
        <w:rFonts w:asciiTheme="minorHAnsi" w:hAnsiTheme="minorHAnsi" w:cstheme="minorHAnsi"/>
        <w:sz w:val="22"/>
        <w:szCs w:val="22"/>
      </w:rPr>
      <w:tab/>
      <w:t xml:space="preserve">Page </w:t>
    </w:r>
    <w:r>
      <w:rPr>
        <w:rFonts w:asciiTheme="minorHAnsi" w:hAnsiTheme="minorHAnsi" w:cstheme="minorHAnsi"/>
        <w:sz w:val="22"/>
        <w:szCs w:val="22"/>
      </w:rPr>
      <w:t>2</w:t>
    </w:r>
    <w:r w:rsidRPr="001F20E5">
      <w:rPr>
        <w:rFonts w:asciiTheme="minorHAnsi" w:hAnsiTheme="minorHAnsi" w:cstheme="minorHAnsi"/>
        <w:sz w:val="22"/>
        <w:szCs w:val="22"/>
      </w:rPr>
      <w:t xml:space="preserve"> of </w:t>
    </w:r>
    <w:r>
      <w:rPr>
        <w:rFonts w:asciiTheme="minorHAnsi" w:hAnsiTheme="minorHAnsi" w:cstheme="minorHAnsi"/>
        <w:sz w:val="22"/>
        <w:szCs w:val="22"/>
      </w:rPr>
      <w:t>2</w:t>
    </w:r>
  </w:p>
  <w:p w14:paraId="20413A82" w14:textId="47A285F6" w:rsidR="00C94CEE" w:rsidRPr="00C94CEE" w:rsidRDefault="00C94CEE">
    <w:pPr>
      <w:pStyle w:val="Footer"/>
      <w:rPr>
        <w:rFonts w:asciiTheme="minorHAnsi" w:hAnsiTheme="minorHAnsi" w:cstheme="minorHAnsi"/>
        <w:sz w:val="22"/>
        <w:szCs w:val="22"/>
      </w:rPr>
    </w:pPr>
    <w:r w:rsidRPr="001F20E5">
      <w:rPr>
        <w:rFonts w:asciiTheme="minorHAnsi" w:hAnsiTheme="minorHAnsi" w:cstheme="minorHAnsi"/>
        <w:sz w:val="22"/>
        <w:szCs w:val="22"/>
      </w:rPr>
      <w:t xml:space="preserve">Updated </w:t>
    </w:r>
    <w:r>
      <w:rPr>
        <w:rFonts w:asciiTheme="minorHAnsi" w:hAnsiTheme="minorHAnsi" w:cstheme="minorHAnsi"/>
        <w:sz w:val="22"/>
        <w:szCs w:val="22"/>
      </w:rPr>
      <w:t>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E104" w14:textId="6B0E2AE9" w:rsidR="00514195" w:rsidRPr="001F20E5" w:rsidRDefault="00514195">
    <w:pPr>
      <w:pStyle w:val="Footer"/>
      <w:rPr>
        <w:rFonts w:asciiTheme="minorHAnsi" w:hAnsiTheme="minorHAnsi" w:cstheme="minorHAnsi"/>
        <w:sz w:val="22"/>
        <w:szCs w:val="22"/>
      </w:rPr>
    </w:pPr>
    <w:r w:rsidRPr="001F20E5">
      <w:rPr>
        <w:rFonts w:asciiTheme="minorHAnsi" w:hAnsiTheme="minorHAnsi" w:cstheme="minorHAnsi"/>
        <w:sz w:val="22"/>
        <w:szCs w:val="22"/>
      </w:rPr>
      <w:t>English Department</w:t>
    </w:r>
    <w:r w:rsidR="00727A99" w:rsidRPr="001F20E5">
      <w:rPr>
        <w:rFonts w:asciiTheme="minorHAnsi" w:hAnsiTheme="minorHAnsi" w:cstheme="minorHAnsi"/>
        <w:sz w:val="22"/>
        <w:szCs w:val="22"/>
      </w:rPr>
      <w:tab/>
    </w:r>
    <w:r w:rsidR="00727A99" w:rsidRPr="001F20E5">
      <w:rPr>
        <w:rFonts w:asciiTheme="minorHAnsi" w:hAnsiTheme="minorHAnsi" w:cstheme="minorHAnsi"/>
        <w:sz w:val="22"/>
        <w:szCs w:val="22"/>
      </w:rPr>
      <w:tab/>
      <w:t xml:space="preserve">Page 1 of </w:t>
    </w:r>
    <w:r w:rsidR="00C94CEE">
      <w:rPr>
        <w:rFonts w:asciiTheme="minorHAnsi" w:hAnsiTheme="minorHAnsi" w:cstheme="minorHAnsi"/>
        <w:sz w:val="22"/>
        <w:szCs w:val="22"/>
      </w:rPr>
      <w:t>2</w:t>
    </w:r>
  </w:p>
  <w:p w14:paraId="295CA41C" w14:textId="28E46524" w:rsidR="00514195" w:rsidRPr="001F20E5" w:rsidRDefault="00514195">
    <w:pPr>
      <w:pStyle w:val="Footer"/>
      <w:rPr>
        <w:rFonts w:asciiTheme="minorHAnsi" w:hAnsiTheme="minorHAnsi" w:cstheme="minorHAnsi"/>
        <w:sz w:val="22"/>
        <w:szCs w:val="22"/>
      </w:rPr>
    </w:pPr>
    <w:r w:rsidRPr="001F20E5">
      <w:rPr>
        <w:rFonts w:asciiTheme="minorHAnsi" w:hAnsiTheme="minorHAnsi" w:cstheme="minorHAnsi"/>
        <w:sz w:val="22"/>
        <w:szCs w:val="22"/>
      </w:rPr>
      <w:t xml:space="preserve">Updated </w:t>
    </w:r>
    <w:r w:rsidR="00C94CEE">
      <w:rPr>
        <w:rFonts w:asciiTheme="minorHAnsi" w:hAnsiTheme="minorHAnsi" w:cstheme="minorHAnsi"/>
        <w:sz w:val="22"/>
        <w:szCs w:val="22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AF5A" w14:textId="77777777" w:rsidR="00AF3744" w:rsidRDefault="00AF3744" w:rsidP="00104F5C">
      <w:r>
        <w:separator/>
      </w:r>
    </w:p>
  </w:footnote>
  <w:footnote w:type="continuationSeparator" w:id="0">
    <w:p w14:paraId="62DC97F5" w14:textId="77777777" w:rsidR="00AF3744" w:rsidRDefault="00AF3744" w:rsidP="001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0C83"/>
    <w:multiLevelType w:val="hybridMultilevel"/>
    <w:tmpl w:val="4B60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0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A"/>
    <w:rsid w:val="00000D23"/>
    <w:rsid w:val="00076C14"/>
    <w:rsid w:val="00077FE9"/>
    <w:rsid w:val="00091868"/>
    <w:rsid w:val="00092416"/>
    <w:rsid w:val="000C7B6A"/>
    <w:rsid w:val="000E5783"/>
    <w:rsid w:val="00104F5C"/>
    <w:rsid w:val="001349E2"/>
    <w:rsid w:val="00152CE4"/>
    <w:rsid w:val="00166315"/>
    <w:rsid w:val="001F0C03"/>
    <w:rsid w:val="001F20E5"/>
    <w:rsid w:val="001F383D"/>
    <w:rsid w:val="00310C10"/>
    <w:rsid w:val="00345D02"/>
    <w:rsid w:val="003B545D"/>
    <w:rsid w:val="00423AED"/>
    <w:rsid w:val="00453FB6"/>
    <w:rsid w:val="004651F0"/>
    <w:rsid w:val="004963C8"/>
    <w:rsid w:val="00501F5D"/>
    <w:rsid w:val="00510263"/>
    <w:rsid w:val="00514195"/>
    <w:rsid w:val="005148EF"/>
    <w:rsid w:val="0055018A"/>
    <w:rsid w:val="00556208"/>
    <w:rsid w:val="005A3950"/>
    <w:rsid w:val="005C7C0B"/>
    <w:rsid w:val="00630000"/>
    <w:rsid w:val="006461B1"/>
    <w:rsid w:val="0068434E"/>
    <w:rsid w:val="00712805"/>
    <w:rsid w:val="00713D91"/>
    <w:rsid w:val="00727A99"/>
    <w:rsid w:val="00772F35"/>
    <w:rsid w:val="00794F41"/>
    <w:rsid w:val="007F2BA0"/>
    <w:rsid w:val="00821E73"/>
    <w:rsid w:val="00854320"/>
    <w:rsid w:val="00862422"/>
    <w:rsid w:val="008F0FD2"/>
    <w:rsid w:val="00933AF2"/>
    <w:rsid w:val="009D1284"/>
    <w:rsid w:val="009D32CF"/>
    <w:rsid w:val="00A16FA6"/>
    <w:rsid w:val="00A4627B"/>
    <w:rsid w:val="00A60A8B"/>
    <w:rsid w:val="00A905FB"/>
    <w:rsid w:val="00AF3744"/>
    <w:rsid w:val="00B04182"/>
    <w:rsid w:val="00B3365D"/>
    <w:rsid w:val="00B83C62"/>
    <w:rsid w:val="00C22BD3"/>
    <w:rsid w:val="00C61AB8"/>
    <w:rsid w:val="00C936BB"/>
    <w:rsid w:val="00C94CEE"/>
    <w:rsid w:val="00CE7EAB"/>
    <w:rsid w:val="00D2642F"/>
    <w:rsid w:val="00D67C08"/>
    <w:rsid w:val="00D7044F"/>
    <w:rsid w:val="00D769A3"/>
    <w:rsid w:val="00DB3C26"/>
    <w:rsid w:val="00DD3F43"/>
    <w:rsid w:val="00DE3FE2"/>
    <w:rsid w:val="00E37FAE"/>
    <w:rsid w:val="00E422A5"/>
    <w:rsid w:val="00E934CF"/>
    <w:rsid w:val="00EA3216"/>
    <w:rsid w:val="00EC151A"/>
    <w:rsid w:val="00EC15CE"/>
    <w:rsid w:val="00F1469F"/>
    <w:rsid w:val="00F37168"/>
    <w:rsid w:val="00F871CA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B5A9A"/>
  <w15:docId w15:val="{09B218A0-EB0C-4CB0-8564-6D9FDB7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F0C03"/>
  </w:style>
  <w:style w:type="paragraph" w:styleId="Header">
    <w:name w:val="header"/>
    <w:basedOn w:val="Normal"/>
    <w:link w:val="HeaderChar"/>
    <w:uiPriority w:val="99"/>
    <w:unhideWhenUsed/>
    <w:rsid w:val="00104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F5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F5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15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Diane Piccitto</cp:lastModifiedBy>
  <cp:revision>19</cp:revision>
  <cp:lastPrinted>2017-08-24T14:25:00Z</cp:lastPrinted>
  <dcterms:created xsi:type="dcterms:W3CDTF">2023-07-26T01:52:00Z</dcterms:created>
  <dcterms:modified xsi:type="dcterms:W3CDTF">2024-05-09T01:40:00Z</dcterms:modified>
</cp:coreProperties>
</file>