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5"/>
        <w:gridCol w:w="4635"/>
      </w:tblGrid>
      <w:tr w:rsidR="001C1FE3" w14:paraId="7693CFEB" w14:textId="77777777" w:rsidTr="00D55C25">
        <w:tc>
          <w:tcPr>
            <w:tcW w:w="4788" w:type="dxa"/>
          </w:tcPr>
          <w:p w14:paraId="61D1D6FF" w14:textId="77777777" w:rsidR="001C1FE3" w:rsidRDefault="0025381D" w:rsidP="00D55C25">
            <w:r>
              <w:rPr>
                <w:noProof/>
              </w:rPr>
              <w:drawing>
                <wp:inline distT="0" distB="0" distL="0" distR="0" wp14:anchorId="2C45A30D" wp14:editId="068CF627">
                  <wp:extent cx="2286000" cy="7356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VU Logo 2016.jpg"/>
                          <pic:cNvPicPr/>
                        </pic:nvPicPr>
                        <pic:blipFill>
                          <a:blip r:embed="rId11">
                            <a:extLst>
                              <a:ext uri="{28A0092B-C50C-407E-A947-70E740481C1C}">
                                <a14:useLocalDpi xmlns:a14="http://schemas.microsoft.com/office/drawing/2010/main" val="0"/>
                              </a:ext>
                            </a:extLst>
                          </a:blip>
                          <a:stretch>
                            <a:fillRect/>
                          </a:stretch>
                        </pic:blipFill>
                        <pic:spPr>
                          <a:xfrm>
                            <a:off x="0" y="0"/>
                            <a:ext cx="2286000" cy="735676"/>
                          </a:xfrm>
                          <a:prstGeom prst="rect">
                            <a:avLst/>
                          </a:prstGeom>
                        </pic:spPr>
                      </pic:pic>
                    </a:graphicData>
                  </a:graphic>
                </wp:inline>
              </w:drawing>
            </w:r>
          </w:p>
        </w:tc>
        <w:tc>
          <w:tcPr>
            <w:tcW w:w="4788" w:type="dxa"/>
          </w:tcPr>
          <w:p w14:paraId="4A31E10F" w14:textId="77777777" w:rsidR="001C1FE3" w:rsidRPr="001C1FE3" w:rsidRDefault="00E517C0" w:rsidP="00D55C25">
            <w:pPr>
              <w:jc w:val="right"/>
              <w:rPr>
                <w:b/>
                <w:sz w:val="44"/>
                <w:szCs w:val="44"/>
              </w:rPr>
            </w:pPr>
            <w:r>
              <w:rPr>
                <w:b/>
                <w:sz w:val="44"/>
                <w:szCs w:val="44"/>
              </w:rPr>
              <w:t>Committee on Research and Publications</w:t>
            </w:r>
          </w:p>
        </w:tc>
      </w:tr>
    </w:tbl>
    <w:p w14:paraId="1F9C518D" w14:textId="77777777" w:rsidR="001C1FE3" w:rsidRDefault="001C1FE3" w:rsidP="001C1FE3">
      <w:pPr>
        <w:spacing w:after="0" w:line="240" w:lineRule="auto"/>
        <w:jc w:val="center"/>
        <w:rPr>
          <w:b/>
          <w:sz w:val="24"/>
          <w:szCs w:val="24"/>
        </w:rPr>
      </w:pPr>
    </w:p>
    <w:p w14:paraId="4AF14658" w14:textId="77777777" w:rsidR="001C1FE3" w:rsidRPr="001C1FE3" w:rsidRDefault="001C1FE3" w:rsidP="001C1FE3">
      <w:pPr>
        <w:spacing w:after="0" w:line="240" w:lineRule="auto"/>
        <w:jc w:val="center"/>
        <w:rPr>
          <w:b/>
          <w:sz w:val="24"/>
          <w:szCs w:val="24"/>
        </w:rPr>
      </w:pPr>
    </w:p>
    <w:tbl>
      <w:tblPr>
        <w:tblStyle w:val="TableGrid"/>
        <w:tblW w:w="0" w:type="auto"/>
        <w:tblLook w:val="04A0" w:firstRow="1" w:lastRow="0" w:firstColumn="1" w:lastColumn="0" w:noHBand="0" w:noVBand="1"/>
      </w:tblPr>
      <w:tblGrid>
        <w:gridCol w:w="2325"/>
        <w:gridCol w:w="7025"/>
      </w:tblGrid>
      <w:tr w:rsidR="001C1FE3" w:rsidRPr="00F973C8" w14:paraId="1F3BC8AC" w14:textId="77777777" w:rsidTr="001C1FE3">
        <w:tc>
          <w:tcPr>
            <w:tcW w:w="2358" w:type="dxa"/>
          </w:tcPr>
          <w:p w14:paraId="252479AF" w14:textId="77777777" w:rsidR="001C1FE3" w:rsidRPr="00F973C8" w:rsidRDefault="00E517C0" w:rsidP="00C142DD">
            <w:pPr>
              <w:rPr>
                <w:rFonts w:asciiTheme="majorHAnsi" w:hAnsiTheme="majorHAnsi" w:cs="Arial"/>
                <w:sz w:val="24"/>
                <w:szCs w:val="24"/>
              </w:rPr>
            </w:pPr>
            <w:r w:rsidRPr="00F973C8">
              <w:rPr>
                <w:rFonts w:asciiTheme="majorHAnsi" w:hAnsiTheme="majorHAnsi" w:cs="Arial"/>
                <w:sz w:val="24"/>
                <w:szCs w:val="24"/>
              </w:rPr>
              <w:t>DOC</w:t>
            </w:r>
            <w:r w:rsidR="001C1FE3" w:rsidRPr="00F973C8">
              <w:rPr>
                <w:rFonts w:asciiTheme="majorHAnsi" w:hAnsiTheme="majorHAnsi" w:cs="Arial"/>
                <w:sz w:val="24"/>
                <w:szCs w:val="24"/>
              </w:rPr>
              <w:t xml:space="preserve"> #</w:t>
            </w:r>
          </w:p>
        </w:tc>
        <w:tc>
          <w:tcPr>
            <w:tcW w:w="7200" w:type="dxa"/>
          </w:tcPr>
          <w:p w14:paraId="035CEEA4" w14:textId="77777777" w:rsidR="001C1FE3" w:rsidRPr="00F973C8" w:rsidRDefault="00E517C0" w:rsidP="002817AF">
            <w:pPr>
              <w:rPr>
                <w:rFonts w:asciiTheme="majorHAnsi" w:hAnsiTheme="majorHAnsi" w:cs="Arial"/>
                <w:sz w:val="24"/>
                <w:szCs w:val="24"/>
              </w:rPr>
            </w:pPr>
            <w:r w:rsidRPr="00F973C8">
              <w:rPr>
                <w:rFonts w:asciiTheme="majorHAnsi" w:hAnsiTheme="majorHAnsi" w:cs="Arial"/>
                <w:sz w:val="24"/>
                <w:szCs w:val="24"/>
              </w:rPr>
              <w:t>CR</w:t>
            </w:r>
            <w:r w:rsidR="007E6486" w:rsidRPr="00F973C8">
              <w:rPr>
                <w:rFonts w:asciiTheme="majorHAnsi" w:hAnsiTheme="majorHAnsi" w:cs="Arial"/>
                <w:sz w:val="24"/>
                <w:szCs w:val="24"/>
              </w:rPr>
              <w:t>P.</w:t>
            </w:r>
            <w:r w:rsidR="009E7A87">
              <w:rPr>
                <w:rFonts w:asciiTheme="majorHAnsi" w:hAnsiTheme="majorHAnsi" w:cs="Arial"/>
                <w:sz w:val="24"/>
                <w:szCs w:val="24"/>
              </w:rPr>
              <w:t>SOP.010</w:t>
            </w:r>
          </w:p>
        </w:tc>
      </w:tr>
      <w:tr w:rsidR="001C1FE3" w:rsidRPr="00F973C8" w14:paraId="17C96C4E" w14:textId="77777777" w:rsidTr="001C1FE3">
        <w:tc>
          <w:tcPr>
            <w:tcW w:w="2358" w:type="dxa"/>
          </w:tcPr>
          <w:p w14:paraId="538E1FB6" w14:textId="77777777" w:rsidR="001C1FE3" w:rsidRPr="00F973C8" w:rsidRDefault="001C1FE3" w:rsidP="00C142DD">
            <w:pPr>
              <w:rPr>
                <w:rFonts w:asciiTheme="majorHAnsi" w:hAnsiTheme="majorHAnsi" w:cs="Arial"/>
                <w:sz w:val="24"/>
                <w:szCs w:val="24"/>
              </w:rPr>
            </w:pPr>
            <w:r w:rsidRPr="00F973C8">
              <w:rPr>
                <w:rFonts w:asciiTheme="majorHAnsi" w:hAnsiTheme="majorHAnsi" w:cs="Arial"/>
                <w:sz w:val="24"/>
                <w:szCs w:val="24"/>
              </w:rPr>
              <w:t>Title</w:t>
            </w:r>
          </w:p>
        </w:tc>
        <w:tc>
          <w:tcPr>
            <w:tcW w:w="7200" w:type="dxa"/>
          </w:tcPr>
          <w:p w14:paraId="0E636FEC" w14:textId="77777777" w:rsidR="001C1FE3" w:rsidRPr="00F973C8" w:rsidRDefault="009E7A87" w:rsidP="00F973C8">
            <w:pPr>
              <w:rPr>
                <w:rFonts w:asciiTheme="majorHAnsi" w:hAnsiTheme="majorHAnsi" w:cs="Arial"/>
                <w:b/>
                <w:sz w:val="24"/>
                <w:szCs w:val="24"/>
              </w:rPr>
            </w:pPr>
            <w:r>
              <w:rPr>
                <w:rFonts w:asciiTheme="majorHAnsi" w:hAnsiTheme="majorHAnsi" w:cs="Arial"/>
                <w:b/>
                <w:sz w:val="24"/>
                <w:szCs w:val="24"/>
              </w:rPr>
              <w:t>Funding for Special Projects</w:t>
            </w:r>
          </w:p>
        </w:tc>
      </w:tr>
      <w:tr w:rsidR="003243A7" w:rsidRPr="00F973C8" w14:paraId="281A368E" w14:textId="77777777" w:rsidTr="001C1FE3">
        <w:tc>
          <w:tcPr>
            <w:tcW w:w="2358" w:type="dxa"/>
          </w:tcPr>
          <w:p w14:paraId="254CAF53" w14:textId="77777777" w:rsidR="003243A7" w:rsidRPr="00F973C8" w:rsidRDefault="003243A7" w:rsidP="00C142DD">
            <w:pPr>
              <w:rPr>
                <w:rFonts w:asciiTheme="majorHAnsi" w:hAnsiTheme="majorHAnsi" w:cs="Arial"/>
                <w:sz w:val="24"/>
                <w:szCs w:val="24"/>
              </w:rPr>
            </w:pPr>
            <w:r>
              <w:rPr>
                <w:rFonts w:asciiTheme="majorHAnsi" w:hAnsiTheme="majorHAnsi" w:cs="Arial"/>
                <w:sz w:val="24"/>
                <w:szCs w:val="24"/>
              </w:rPr>
              <w:t>Document Type</w:t>
            </w:r>
          </w:p>
        </w:tc>
        <w:tc>
          <w:tcPr>
            <w:tcW w:w="7200" w:type="dxa"/>
          </w:tcPr>
          <w:p w14:paraId="09EEC578" w14:textId="77777777" w:rsidR="003243A7" w:rsidRPr="003243A7" w:rsidRDefault="009E7A87" w:rsidP="00F973C8">
            <w:pPr>
              <w:rPr>
                <w:rFonts w:asciiTheme="majorHAnsi" w:hAnsiTheme="majorHAnsi"/>
                <w:sz w:val="24"/>
                <w:szCs w:val="24"/>
              </w:rPr>
            </w:pPr>
            <w:r>
              <w:rPr>
                <w:rFonts w:asciiTheme="majorHAnsi" w:hAnsiTheme="majorHAnsi"/>
                <w:sz w:val="24"/>
                <w:szCs w:val="24"/>
              </w:rPr>
              <w:t>Standard Operating Procedures</w:t>
            </w:r>
          </w:p>
        </w:tc>
      </w:tr>
      <w:tr w:rsidR="001C1FE3" w:rsidRPr="00F973C8" w14:paraId="24B8C234" w14:textId="77777777" w:rsidTr="001C1FE3">
        <w:tc>
          <w:tcPr>
            <w:tcW w:w="2358" w:type="dxa"/>
          </w:tcPr>
          <w:p w14:paraId="10ABB4A3" w14:textId="77777777" w:rsidR="001C1FE3" w:rsidRPr="00F973C8" w:rsidRDefault="001C1FE3" w:rsidP="00C142DD">
            <w:pPr>
              <w:rPr>
                <w:rFonts w:asciiTheme="majorHAnsi" w:hAnsiTheme="majorHAnsi" w:cs="Arial"/>
                <w:sz w:val="24"/>
                <w:szCs w:val="24"/>
              </w:rPr>
            </w:pPr>
            <w:r w:rsidRPr="00F973C8">
              <w:rPr>
                <w:rFonts w:asciiTheme="majorHAnsi" w:hAnsiTheme="majorHAnsi" w:cs="Arial"/>
                <w:sz w:val="24"/>
                <w:szCs w:val="24"/>
              </w:rPr>
              <w:t>Effective Date</w:t>
            </w:r>
          </w:p>
        </w:tc>
        <w:tc>
          <w:tcPr>
            <w:tcW w:w="7200" w:type="dxa"/>
          </w:tcPr>
          <w:p w14:paraId="263D9CE5" w14:textId="56A419B0" w:rsidR="001C1FE3" w:rsidRPr="00F973C8" w:rsidRDefault="00534081" w:rsidP="008327B4">
            <w:pPr>
              <w:rPr>
                <w:rFonts w:asciiTheme="majorHAnsi" w:hAnsiTheme="majorHAnsi" w:cs="Arial"/>
                <w:sz w:val="24"/>
                <w:szCs w:val="24"/>
              </w:rPr>
            </w:pPr>
            <w:r>
              <w:rPr>
                <w:rFonts w:asciiTheme="majorHAnsi" w:hAnsiTheme="majorHAnsi" w:cs="Arial"/>
                <w:sz w:val="24"/>
                <w:szCs w:val="24"/>
              </w:rPr>
              <w:t>July</w:t>
            </w:r>
            <w:bookmarkStart w:id="0" w:name="_GoBack"/>
            <w:bookmarkEnd w:id="0"/>
            <w:r w:rsidR="00F50408">
              <w:rPr>
                <w:rFonts w:asciiTheme="majorHAnsi" w:hAnsiTheme="majorHAnsi" w:cs="Arial"/>
                <w:sz w:val="24"/>
                <w:szCs w:val="24"/>
              </w:rPr>
              <w:t xml:space="preserve"> 1</w:t>
            </w:r>
            <w:r w:rsidR="00F50408" w:rsidRPr="008D5DD3">
              <w:rPr>
                <w:rFonts w:asciiTheme="majorHAnsi" w:hAnsiTheme="majorHAnsi" w:cs="Arial"/>
                <w:sz w:val="24"/>
                <w:szCs w:val="24"/>
                <w:vertAlign w:val="superscript"/>
              </w:rPr>
              <w:t>st</w:t>
            </w:r>
            <w:r w:rsidR="00F50408">
              <w:rPr>
                <w:rFonts w:asciiTheme="majorHAnsi" w:hAnsiTheme="majorHAnsi" w:cs="Arial"/>
                <w:sz w:val="24"/>
                <w:szCs w:val="24"/>
              </w:rPr>
              <w:t>, 20</w:t>
            </w:r>
            <w:r>
              <w:rPr>
                <w:rFonts w:asciiTheme="majorHAnsi" w:hAnsiTheme="majorHAnsi" w:cs="Arial"/>
                <w:sz w:val="24"/>
                <w:szCs w:val="24"/>
              </w:rPr>
              <w:t>21</w:t>
            </w:r>
          </w:p>
        </w:tc>
      </w:tr>
      <w:tr w:rsidR="001C1FE3" w:rsidRPr="00F973C8" w14:paraId="7C809662" w14:textId="77777777" w:rsidTr="001C1FE3">
        <w:tc>
          <w:tcPr>
            <w:tcW w:w="2358" w:type="dxa"/>
          </w:tcPr>
          <w:p w14:paraId="5EFF0387" w14:textId="77777777" w:rsidR="001C1FE3" w:rsidRPr="00F973C8" w:rsidRDefault="001C1FE3" w:rsidP="00C142DD">
            <w:pPr>
              <w:rPr>
                <w:rFonts w:asciiTheme="majorHAnsi" w:hAnsiTheme="majorHAnsi" w:cs="Arial"/>
                <w:sz w:val="24"/>
                <w:szCs w:val="24"/>
              </w:rPr>
            </w:pPr>
            <w:r w:rsidRPr="00F973C8">
              <w:rPr>
                <w:rFonts w:asciiTheme="majorHAnsi" w:hAnsiTheme="majorHAnsi" w:cs="Arial"/>
                <w:sz w:val="24"/>
                <w:szCs w:val="24"/>
              </w:rPr>
              <w:t>Version</w:t>
            </w:r>
          </w:p>
        </w:tc>
        <w:tc>
          <w:tcPr>
            <w:tcW w:w="7200" w:type="dxa"/>
          </w:tcPr>
          <w:p w14:paraId="78374C8C" w14:textId="34427C4B" w:rsidR="001C1FE3" w:rsidRPr="00F973C8" w:rsidRDefault="00534081" w:rsidP="007E6486">
            <w:pPr>
              <w:rPr>
                <w:rFonts w:asciiTheme="majorHAnsi" w:hAnsiTheme="majorHAnsi" w:cs="Arial"/>
                <w:sz w:val="24"/>
                <w:szCs w:val="24"/>
              </w:rPr>
            </w:pPr>
            <w:r>
              <w:rPr>
                <w:rFonts w:asciiTheme="majorHAnsi" w:hAnsiTheme="majorHAnsi" w:cs="Arial"/>
                <w:sz w:val="24"/>
                <w:szCs w:val="24"/>
              </w:rPr>
              <w:t>4</w:t>
            </w:r>
            <w:r w:rsidR="004F6284">
              <w:rPr>
                <w:rFonts w:asciiTheme="majorHAnsi" w:hAnsiTheme="majorHAnsi" w:cs="Arial"/>
                <w:sz w:val="24"/>
                <w:szCs w:val="24"/>
              </w:rPr>
              <w:t>.0</w:t>
            </w:r>
          </w:p>
        </w:tc>
      </w:tr>
      <w:tr w:rsidR="00203CFA" w:rsidRPr="00F973C8" w14:paraId="3BC590D1" w14:textId="77777777" w:rsidTr="001C1FE3">
        <w:tc>
          <w:tcPr>
            <w:tcW w:w="2358" w:type="dxa"/>
          </w:tcPr>
          <w:p w14:paraId="6C1633CC" w14:textId="77777777" w:rsidR="00203CFA" w:rsidRPr="00F973C8" w:rsidRDefault="00203CFA" w:rsidP="00C142DD">
            <w:pPr>
              <w:rPr>
                <w:rFonts w:asciiTheme="majorHAnsi" w:hAnsiTheme="majorHAnsi" w:cs="Arial"/>
                <w:sz w:val="24"/>
                <w:szCs w:val="24"/>
              </w:rPr>
            </w:pPr>
            <w:r w:rsidRPr="00F973C8">
              <w:rPr>
                <w:rFonts w:asciiTheme="majorHAnsi" w:hAnsiTheme="majorHAnsi" w:cs="Arial"/>
                <w:sz w:val="24"/>
                <w:szCs w:val="24"/>
              </w:rPr>
              <w:t>Prev. Version</w:t>
            </w:r>
          </w:p>
        </w:tc>
        <w:tc>
          <w:tcPr>
            <w:tcW w:w="7200" w:type="dxa"/>
          </w:tcPr>
          <w:p w14:paraId="2ACDFF3D" w14:textId="28C8CB5B" w:rsidR="00203CFA" w:rsidRPr="00F973C8" w:rsidRDefault="00534081" w:rsidP="00DD0907">
            <w:pPr>
              <w:rPr>
                <w:rFonts w:asciiTheme="majorHAnsi" w:hAnsiTheme="majorHAnsi" w:cs="Arial"/>
                <w:sz w:val="24"/>
                <w:szCs w:val="24"/>
              </w:rPr>
            </w:pPr>
            <w:r>
              <w:rPr>
                <w:rFonts w:asciiTheme="majorHAnsi" w:hAnsiTheme="majorHAnsi" w:cs="Arial"/>
                <w:sz w:val="24"/>
                <w:szCs w:val="24"/>
              </w:rPr>
              <w:t>3</w:t>
            </w:r>
            <w:r w:rsidR="004F6284">
              <w:rPr>
                <w:rFonts w:asciiTheme="majorHAnsi" w:hAnsiTheme="majorHAnsi" w:cs="Arial"/>
                <w:sz w:val="24"/>
                <w:szCs w:val="24"/>
              </w:rPr>
              <w:t>.0</w:t>
            </w:r>
            <w:r w:rsidR="00F50408">
              <w:rPr>
                <w:rFonts w:asciiTheme="majorHAnsi" w:hAnsiTheme="majorHAnsi" w:cs="Arial"/>
                <w:sz w:val="24"/>
                <w:szCs w:val="24"/>
              </w:rPr>
              <w:t xml:space="preserve"> </w:t>
            </w:r>
            <w:proofErr w:type="spellStart"/>
            <w:r>
              <w:rPr>
                <w:rFonts w:asciiTheme="majorHAnsi" w:hAnsiTheme="majorHAnsi" w:cs="Arial"/>
                <w:sz w:val="24"/>
                <w:szCs w:val="24"/>
              </w:rPr>
              <w:t>Feburary</w:t>
            </w:r>
            <w:proofErr w:type="spellEnd"/>
            <w:r>
              <w:rPr>
                <w:rFonts w:asciiTheme="majorHAnsi" w:hAnsiTheme="majorHAnsi" w:cs="Arial"/>
                <w:sz w:val="24"/>
                <w:szCs w:val="24"/>
              </w:rPr>
              <w:t xml:space="preserve"> 2019</w:t>
            </w:r>
          </w:p>
        </w:tc>
      </w:tr>
      <w:tr w:rsidR="00203CFA" w:rsidRPr="00F973C8" w14:paraId="516DB4CD" w14:textId="77777777" w:rsidTr="001C1FE3">
        <w:tc>
          <w:tcPr>
            <w:tcW w:w="2358" w:type="dxa"/>
          </w:tcPr>
          <w:p w14:paraId="25516A9C" w14:textId="77777777" w:rsidR="00203CFA" w:rsidRPr="00F973C8" w:rsidRDefault="00203CFA" w:rsidP="00C142DD">
            <w:pPr>
              <w:rPr>
                <w:rFonts w:asciiTheme="majorHAnsi" w:hAnsiTheme="majorHAnsi" w:cs="Arial"/>
                <w:sz w:val="24"/>
                <w:szCs w:val="24"/>
              </w:rPr>
            </w:pPr>
            <w:r w:rsidRPr="00F973C8">
              <w:rPr>
                <w:rFonts w:asciiTheme="majorHAnsi" w:hAnsiTheme="majorHAnsi" w:cs="Arial"/>
                <w:sz w:val="24"/>
                <w:szCs w:val="24"/>
              </w:rPr>
              <w:t>Next Review</w:t>
            </w:r>
          </w:p>
        </w:tc>
        <w:tc>
          <w:tcPr>
            <w:tcW w:w="7200" w:type="dxa"/>
          </w:tcPr>
          <w:p w14:paraId="3F739D7E" w14:textId="3A2E1F6D" w:rsidR="00203CFA" w:rsidRPr="00F973C8" w:rsidRDefault="004F6284" w:rsidP="00E517C0">
            <w:pPr>
              <w:rPr>
                <w:rFonts w:asciiTheme="majorHAnsi" w:hAnsiTheme="majorHAnsi" w:cs="Arial"/>
                <w:sz w:val="24"/>
                <w:szCs w:val="24"/>
              </w:rPr>
            </w:pPr>
            <w:r>
              <w:rPr>
                <w:rFonts w:asciiTheme="majorHAnsi" w:hAnsiTheme="majorHAnsi" w:cs="Arial"/>
                <w:sz w:val="24"/>
                <w:szCs w:val="24"/>
              </w:rPr>
              <w:t>20</w:t>
            </w:r>
            <w:r w:rsidR="00F50408">
              <w:rPr>
                <w:rFonts w:asciiTheme="majorHAnsi" w:hAnsiTheme="majorHAnsi" w:cs="Arial"/>
                <w:sz w:val="24"/>
                <w:szCs w:val="24"/>
              </w:rPr>
              <w:t>2</w:t>
            </w:r>
            <w:r w:rsidR="008D5DD3">
              <w:rPr>
                <w:rFonts w:asciiTheme="majorHAnsi" w:hAnsiTheme="majorHAnsi" w:cs="Arial"/>
                <w:sz w:val="24"/>
                <w:szCs w:val="24"/>
              </w:rPr>
              <w:t>4</w:t>
            </w:r>
          </w:p>
        </w:tc>
      </w:tr>
    </w:tbl>
    <w:p w14:paraId="78BE07FE" w14:textId="77777777" w:rsidR="00541308" w:rsidRDefault="00541308" w:rsidP="002817AF">
      <w:pPr>
        <w:rPr>
          <w:rFonts w:asciiTheme="majorHAnsi" w:hAnsiTheme="majorHAnsi"/>
          <w:color w:val="000000" w:themeColor="text1"/>
          <w:sz w:val="24"/>
          <w:szCs w:val="24"/>
          <w:lang w:val="en-CA"/>
        </w:rPr>
      </w:pPr>
    </w:p>
    <w:p w14:paraId="2D458E37" w14:textId="246F3403" w:rsidR="009E7A87" w:rsidRDefault="009E7A87" w:rsidP="002817AF">
      <w:pPr>
        <w:rPr>
          <w:rFonts w:asciiTheme="majorHAnsi" w:hAnsiTheme="majorHAnsi"/>
          <w:color w:val="000000" w:themeColor="text1"/>
          <w:sz w:val="24"/>
          <w:szCs w:val="24"/>
          <w:lang w:val="en-CA"/>
        </w:rPr>
      </w:pPr>
      <w:r>
        <w:rPr>
          <w:rFonts w:asciiTheme="majorHAnsi" w:hAnsiTheme="majorHAnsi"/>
          <w:color w:val="000000" w:themeColor="text1"/>
          <w:sz w:val="24"/>
          <w:szCs w:val="24"/>
          <w:lang w:val="en-CA"/>
        </w:rPr>
        <w:t xml:space="preserve">From time to time funds are made available for special projects to build research capacity in identified areas. Guidelines to special project funding may vary. </w:t>
      </w:r>
    </w:p>
    <w:p w14:paraId="68A13AC1" w14:textId="77777777" w:rsidR="00F50408" w:rsidRPr="008D5DD3" w:rsidRDefault="00F50408" w:rsidP="00F50408">
      <w:pPr>
        <w:spacing w:after="0"/>
        <w:rPr>
          <w:rFonts w:asciiTheme="majorHAnsi" w:hAnsiTheme="majorHAnsi"/>
          <w:b/>
          <w:sz w:val="28"/>
        </w:rPr>
      </w:pPr>
      <w:r w:rsidRPr="008D5DD3">
        <w:rPr>
          <w:rFonts w:asciiTheme="majorHAnsi" w:hAnsiTheme="majorHAnsi"/>
          <w:b/>
          <w:sz w:val="28"/>
        </w:rPr>
        <w:t xml:space="preserve">SSHRC Explore and SSHRC Exchange Grants </w:t>
      </w:r>
    </w:p>
    <w:p w14:paraId="255A0B65" w14:textId="77777777" w:rsidR="00F50408" w:rsidRPr="008D5DD3" w:rsidRDefault="00F50408" w:rsidP="00F50408">
      <w:pPr>
        <w:spacing w:after="0"/>
        <w:rPr>
          <w:rFonts w:asciiTheme="majorHAnsi" w:hAnsiTheme="majorHAnsi"/>
        </w:rPr>
      </w:pPr>
      <w:r w:rsidRPr="008D5DD3">
        <w:rPr>
          <w:rFonts w:asciiTheme="majorHAnsi" w:hAnsiTheme="majorHAnsi"/>
        </w:rPr>
        <w:t>The newly established SSHRC Explore and Engage grants will provide support for small-scale research projects and knowledge exchange or mobilization activities that fall under SSHRC’s mandate.</w:t>
      </w:r>
    </w:p>
    <w:p w14:paraId="0A73E940" w14:textId="77777777" w:rsidR="00F50408" w:rsidRPr="008D5DD3" w:rsidRDefault="00F50408" w:rsidP="00F50408">
      <w:pPr>
        <w:spacing w:after="0"/>
        <w:rPr>
          <w:rFonts w:asciiTheme="majorHAnsi" w:hAnsiTheme="majorHAnsi"/>
        </w:rPr>
      </w:pPr>
    </w:p>
    <w:p w14:paraId="1BC801A3" w14:textId="77777777" w:rsidR="00F50408" w:rsidRPr="008D5DD3" w:rsidRDefault="00F50408" w:rsidP="00F50408">
      <w:pPr>
        <w:spacing w:after="0"/>
        <w:rPr>
          <w:rFonts w:asciiTheme="majorHAnsi" w:hAnsiTheme="majorHAnsi"/>
        </w:rPr>
      </w:pPr>
      <w:r w:rsidRPr="008D5DD3">
        <w:rPr>
          <w:rFonts w:asciiTheme="majorHAnsi" w:hAnsiTheme="majorHAnsi"/>
        </w:rPr>
        <w:t>This new program replaces the Social Change Through Community-Engaged Research Grant. The SSHRC Explore and Exchange grants are Tri-Agency grants administered at the university level. SSHRC Explore and Exchange grants are subject to competitive adjudication by the Committee on Research and Publications.</w:t>
      </w:r>
    </w:p>
    <w:p w14:paraId="62F38555" w14:textId="77777777" w:rsidR="00F50408" w:rsidRPr="008D5DD3" w:rsidRDefault="00F50408" w:rsidP="00F50408">
      <w:pPr>
        <w:spacing w:after="0"/>
        <w:rPr>
          <w:rFonts w:asciiTheme="majorHAnsi" w:hAnsiTheme="majorHAnsi"/>
        </w:rPr>
      </w:pPr>
    </w:p>
    <w:p w14:paraId="334EF3C8" w14:textId="77777777" w:rsidR="00F50408" w:rsidRPr="008D5DD3" w:rsidRDefault="00F50408" w:rsidP="00F50408">
      <w:pPr>
        <w:spacing w:after="0"/>
        <w:rPr>
          <w:rFonts w:asciiTheme="majorHAnsi" w:hAnsiTheme="majorHAnsi"/>
        </w:rPr>
      </w:pPr>
      <w:r w:rsidRPr="008D5DD3">
        <w:rPr>
          <w:rFonts w:asciiTheme="majorHAnsi" w:hAnsiTheme="majorHAnsi"/>
        </w:rPr>
        <w:t xml:space="preserve">The SSHRC Exchange and Explore grants are financed from an annual grant made to the Mount by SSHRC in general support of research and scholarly work that falls under SSHRC’s mandate. </w:t>
      </w:r>
    </w:p>
    <w:p w14:paraId="76EB1AB1" w14:textId="77777777" w:rsidR="00F50408" w:rsidRPr="008D5DD3" w:rsidRDefault="00F50408" w:rsidP="00F50408">
      <w:pPr>
        <w:spacing w:after="0"/>
        <w:rPr>
          <w:rFonts w:asciiTheme="majorHAnsi" w:hAnsi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50408" w:rsidRPr="00F50408" w14:paraId="0127B612" w14:textId="77777777" w:rsidTr="008528E6">
        <w:tc>
          <w:tcPr>
            <w:tcW w:w="4675" w:type="dxa"/>
          </w:tcPr>
          <w:p w14:paraId="346BECBE" w14:textId="592B0A0A" w:rsidR="00F50408" w:rsidRPr="008D5DD3" w:rsidRDefault="00F50408" w:rsidP="008528E6">
            <w:pPr>
              <w:rPr>
                <w:rFonts w:asciiTheme="majorHAnsi" w:hAnsiTheme="majorHAnsi"/>
                <w:b/>
                <w:sz w:val="24"/>
                <w:szCs w:val="24"/>
              </w:rPr>
            </w:pPr>
            <w:r w:rsidRPr="008D5DD3">
              <w:rPr>
                <w:rFonts w:asciiTheme="majorHAnsi" w:hAnsiTheme="majorHAnsi"/>
                <w:b/>
                <w:color w:val="1F497D" w:themeColor="text2"/>
                <w:sz w:val="24"/>
                <w:szCs w:val="24"/>
              </w:rPr>
              <w:t>SSHRC EXPLORE (up to $</w:t>
            </w:r>
            <w:r w:rsidR="008D5DD3">
              <w:rPr>
                <w:rFonts w:asciiTheme="majorHAnsi" w:hAnsiTheme="majorHAnsi"/>
                <w:b/>
                <w:color w:val="1F497D" w:themeColor="text2"/>
                <w:sz w:val="24"/>
                <w:szCs w:val="24"/>
              </w:rPr>
              <w:t>5</w:t>
            </w:r>
            <w:r w:rsidRPr="008D5DD3">
              <w:rPr>
                <w:rFonts w:asciiTheme="majorHAnsi" w:hAnsiTheme="majorHAnsi"/>
                <w:b/>
                <w:color w:val="1F497D" w:themeColor="text2"/>
                <w:sz w:val="24"/>
                <w:szCs w:val="24"/>
              </w:rPr>
              <w:t>,000</w:t>
            </w:r>
            <w:r w:rsidR="008F14CB">
              <w:rPr>
                <w:rFonts w:asciiTheme="majorHAnsi" w:hAnsiTheme="majorHAnsi"/>
                <w:b/>
                <w:color w:val="1F497D" w:themeColor="text2"/>
                <w:sz w:val="24"/>
                <w:szCs w:val="24"/>
              </w:rPr>
              <w:t xml:space="preserve"> for one year</w:t>
            </w:r>
            <w:r w:rsidRPr="008D5DD3">
              <w:rPr>
                <w:rFonts w:asciiTheme="majorHAnsi" w:hAnsiTheme="majorHAnsi"/>
                <w:b/>
                <w:color w:val="1F497D" w:themeColor="text2"/>
                <w:sz w:val="24"/>
                <w:szCs w:val="24"/>
              </w:rPr>
              <w:t>)</w:t>
            </w:r>
          </w:p>
        </w:tc>
        <w:tc>
          <w:tcPr>
            <w:tcW w:w="4675" w:type="dxa"/>
          </w:tcPr>
          <w:p w14:paraId="2B65F2FE" w14:textId="77777777" w:rsidR="00F50408" w:rsidRPr="008D5DD3" w:rsidRDefault="00F50408" w:rsidP="008528E6">
            <w:pPr>
              <w:rPr>
                <w:rFonts w:asciiTheme="majorHAnsi" w:hAnsiTheme="majorHAnsi"/>
                <w:b/>
                <w:sz w:val="24"/>
                <w:szCs w:val="24"/>
              </w:rPr>
            </w:pPr>
            <w:r w:rsidRPr="008D5DD3">
              <w:rPr>
                <w:rFonts w:asciiTheme="majorHAnsi" w:hAnsiTheme="majorHAnsi"/>
                <w:b/>
                <w:color w:val="1F497D" w:themeColor="text2"/>
                <w:sz w:val="24"/>
                <w:szCs w:val="24"/>
              </w:rPr>
              <w:t>SSHRC EXCHANGE ($500 and up to $2500</w:t>
            </w:r>
            <w:r w:rsidR="008F14CB">
              <w:rPr>
                <w:rFonts w:asciiTheme="majorHAnsi" w:hAnsiTheme="majorHAnsi"/>
                <w:b/>
                <w:color w:val="1F497D" w:themeColor="text2"/>
                <w:sz w:val="24"/>
                <w:szCs w:val="24"/>
              </w:rPr>
              <w:t xml:space="preserve"> for one year</w:t>
            </w:r>
            <w:r w:rsidRPr="008D5DD3">
              <w:rPr>
                <w:rFonts w:asciiTheme="majorHAnsi" w:hAnsiTheme="majorHAnsi"/>
                <w:b/>
                <w:color w:val="1F497D" w:themeColor="text2"/>
                <w:sz w:val="24"/>
                <w:szCs w:val="24"/>
              </w:rPr>
              <w:t>)</w:t>
            </w:r>
          </w:p>
        </w:tc>
      </w:tr>
      <w:tr w:rsidR="00F50408" w:rsidRPr="00F50408" w14:paraId="2A22686B" w14:textId="77777777" w:rsidTr="008528E6">
        <w:trPr>
          <w:trHeight w:val="206"/>
        </w:trPr>
        <w:tc>
          <w:tcPr>
            <w:tcW w:w="4675" w:type="dxa"/>
          </w:tcPr>
          <w:p w14:paraId="6B808210" w14:textId="77777777" w:rsidR="00F50408" w:rsidRPr="008D5DD3" w:rsidRDefault="00F50408" w:rsidP="00F50408">
            <w:pPr>
              <w:pStyle w:val="ListParagraph"/>
              <w:numPr>
                <w:ilvl w:val="0"/>
                <w:numId w:val="9"/>
              </w:numPr>
              <w:rPr>
                <w:rFonts w:asciiTheme="majorHAnsi" w:hAnsiTheme="majorHAnsi"/>
                <w:sz w:val="20"/>
                <w:szCs w:val="20"/>
              </w:rPr>
            </w:pPr>
            <w:r w:rsidRPr="008D5DD3">
              <w:rPr>
                <w:rFonts w:asciiTheme="majorHAnsi" w:hAnsiTheme="majorHAnsi"/>
                <w:sz w:val="20"/>
                <w:szCs w:val="20"/>
              </w:rPr>
              <w:t>Supports small-scale innovation and experimentation.</w:t>
            </w:r>
          </w:p>
          <w:p w14:paraId="3C0AA27D" w14:textId="77777777" w:rsidR="00F50408" w:rsidRPr="008D5DD3" w:rsidRDefault="00F50408" w:rsidP="00F50408">
            <w:pPr>
              <w:pStyle w:val="ListParagraph"/>
              <w:numPr>
                <w:ilvl w:val="0"/>
                <w:numId w:val="9"/>
              </w:numPr>
              <w:rPr>
                <w:rFonts w:asciiTheme="majorHAnsi" w:hAnsiTheme="majorHAnsi"/>
                <w:sz w:val="20"/>
                <w:szCs w:val="20"/>
              </w:rPr>
            </w:pPr>
            <w:r w:rsidRPr="008D5DD3">
              <w:rPr>
                <w:rFonts w:asciiTheme="majorHAnsi" w:hAnsiTheme="majorHAnsi"/>
                <w:sz w:val="20"/>
                <w:szCs w:val="20"/>
              </w:rPr>
              <w:t>Encourages development of pilot projects, new research frameworks and ideas.</w:t>
            </w:r>
          </w:p>
          <w:p w14:paraId="7F087265" w14:textId="77777777" w:rsidR="00F50408" w:rsidRPr="008D5DD3" w:rsidRDefault="00F50408" w:rsidP="00F50408">
            <w:pPr>
              <w:pStyle w:val="ListParagraph"/>
              <w:numPr>
                <w:ilvl w:val="0"/>
                <w:numId w:val="9"/>
              </w:numPr>
              <w:rPr>
                <w:rFonts w:asciiTheme="majorHAnsi" w:hAnsiTheme="majorHAnsi"/>
                <w:sz w:val="20"/>
                <w:szCs w:val="20"/>
              </w:rPr>
            </w:pPr>
            <w:r w:rsidRPr="008D5DD3">
              <w:rPr>
                <w:rFonts w:asciiTheme="majorHAnsi" w:hAnsiTheme="majorHAnsi"/>
                <w:sz w:val="20"/>
                <w:szCs w:val="20"/>
              </w:rPr>
              <w:t xml:space="preserve">Enables researchers to hire students at any level. </w:t>
            </w:r>
          </w:p>
          <w:p w14:paraId="0219767F" w14:textId="77777777" w:rsidR="00F50408" w:rsidRPr="008D5DD3" w:rsidRDefault="00F50408" w:rsidP="00F50408">
            <w:pPr>
              <w:pStyle w:val="ListParagraph"/>
              <w:numPr>
                <w:ilvl w:val="0"/>
                <w:numId w:val="9"/>
              </w:numPr>
              <w:rPr>
                <w:rFonts w:asciiTheme="majorHAnsi" w:hAnsiTheme="majorHAnsi"/>
                <w:sz w:val="20"/>
                <w:szCs w:val="20"/>
              </w:rPr>
            </w:pPr>
            <w:r w:rsidRPr="008D5DD3">
              <w:rPr>
                <w:rFonts w:asciiTheme="majorHAnsi" w:hAnsiTheme="majorHAnsi"/>
                <w:sz w:val="20"/>
                <w:szCs w:val="20"/>
              </w:rPr>
              <w:t>Helps position recipients for success at the national level.</w:t>
            </w:r>
          </w:p>
          <w:p w14:paraId="25E38589" w14:textId="77777777" w:rsidR="00F50408" w:rsidRPr="008D5DD3" w:rsidRDefault="00F50408" w:rsidP="00F50408">
            <w:pPr>
              <w:pStyle w:val="ListParagraph"/>
              <w:numPr>
                <w:ilvl w:val="0"/>
                <w:numId w:val="9"/>
              </w:numPr>
              <w:rPr>
                <w:rFonts w:asciiTheme="majorHAnsi" w:hAnsiTheme="majorHAnsi"/>
                <w:sz w:val="20"/>
                <w:szCs w:val="20"/>
              </w:rPr>
            </w:pPr>
            <w:r w:rsidRPr="008D5DD3">
              <w:rPr>
                <w:rFonts w:asciiTheme="majorHAnsi" w:hAnsiTheme="majorHAnsi"/>
                <w:sz w:val="20"/>
                <w:szCs w:val="20"/>
              </w:rPr>
              <w:t>Researchers can hold only one SSHRC Explore grant at a time.</w:t>
            </w:r>
          </w:p>
        </w:tc>
        <w:tc>
          <w:tcPr>
            <w:tcW w:w="4675" w:type="dxa"/>
          </w:tcPr>
          <w:p w14:paraId="2486905F" w14:textId="77777777" w:rsidR="00F50408" w:rsidRPr="008D5DD3" w:rsidRDefault="00F50408" w:rsidP="00F50408">
            <w:pPr>
              <w:pStyle w:val="ListParagraph"/>
              <w:numPr>
                <w:ilvl w:val="0"/>
                <w:numId w:val="9"/>
              </w:numPr>
              <w:rPr>
                <w:rFonts w:asciiTheme="majorHAnsi" w:hAnsiTheme="majorHAnsi"/>
                <w:sz w:val="20"/>
                <w:szCs w:val="20"/>
              </w:rPr>
            </w:pPr>
            <w:r w:rsidRPr="008D5DD3">
              <w:rPr>
                <w:rFonts w:asciiTheme="majorHAnsi" w:hAnsiTheme="majorHAnsi"/>
                <w:sz w:val="20"/>
                <w:szCs w:val="20"/>
              </w:rPr>
              <w:t xml:space="preserve">Supports knowledge exchange or mobilization activities both within and beyond the academic community.  </w:t>
            </w:r>
          </w:p>
          <w:p w14:paraId="595D4E73" w14:textId="77777777" w:rsidR="00F50408" w:rsidRPr="008D5DD3" w:rsidRDefault="00F50408" w:rsidP="00F50408">
            <w:pPr>
              <w:pStyle w:val="ListParagraph"/>
              <w:numPr>
                <w:ilvl w:val="0"/>
                <w:numId w:val="9"/>
              </w:numPr>
              <w:rPr>
                <w:rFonts w:asciiTheme="majorHAnsi" w:hAnsiTheme="majorHAnsi"/>
                <w:sz w:val="20"/>
                <w:szCs w:val="20"/>
              </w:rPr>
            </w:pPr>
            <w:r w:rsidRPr="008D5DD3">
              <w:rPr>
                <w:rFonts w:asciiTheme="majorHAnsi" w:hAnsiTheme="majorHAnsi"/>
                <w:sz w:val="20"/>
                <w:szCs w:val="20"/>
              </w:rPr>
              <w:t>Fosters the flow of and exchange of social sciences and humanities knowledge.</w:t>
            </w:r>
          </w:p>
          <w:p w14:paraId="6B97659F" w14:textId="77777777" w:rsidR="00F50408" w:rsidRPr="008D5DD3" w:rsidRDefault="00F50408" w:rsidP="00F50408">
            <w:pPr>
              <w:pStyle w:val="ListParagraph"/>
              <w:numPr>
                <w:ilvl w:val="0"/>
                <w:numId w:val="9"/>
              </w:numPr>
              <w:rPr>
                <w:rFonts w:asciiTheme="majorHAnsi" w:hAnsiTheme="majorHAnsi"/>
              </w:rPr>
            </w:pPr>
            <w:r w:rsidRPr="008D5DD3">
              <w:rPr>
                <w:rFonts w:asciiTheme="majorHAnsi" w:hAnsiTheme="majorHAnsi"/>
                <w:sz w:val="20"/>
                <w:szCs w:val="20"/>
              </w:rPr>
              <w:t>Researchers can hold only one SSHRC Exchange grant at a time.</w:t>
            </w:r>
            <w:r w:rsidRPr="008D5DD3">
              <w:rPr>
                <w:rFonts w:asciiTheme="majorHAnsi" w:hAnsiTheme="majorHAnsi"/>
              </w:rPr>
              <w:t xml:space="preserve"> </w:t>
            </w:r>
          </w:p>
        </w:tc>
      </w:tr>
    </w:tbl>
    <w:p w14:paraId="5CF66AC1" w14:textId="77777777" w:rsidR="004F6284" w:rsidRPr="002D1E8D" w:rsidRDefault="004F6284" w:rsidP="004F6284">
      <w:pPr>
        <w:ind w:left="529"/>
        <w:rPr>
          <w:rFonts w:cstheme="minorHAnsi"/>
        </w:rPr>
      </w:pPr>
    </w:p>
    <w:p w14:paraId="2F5F55DC" w14:textId="53D04DDD" w:rsidR="004F6284" w:rsidRPr="008D5DD3" w:rsidRDefault="004F6284" w:rsidP="004F6284">
      <w:pPr>
        <w:rPr>
          <w:rFonts w:asciiTheme="majorHAnsi" w:hAnsiTheme="majorHAnsi" w:cstheme="minorHAnsi"/>
          <w:b/>
        </w:rPr>
      </w:pPr>
      <w:r w:rsidRPr="008D5DD3">
        <w:rPr>
          <w:rFonts w:asciiTheme="majorHAnsi" w:hAnsiTheme="majorHAnsi"/>
        </w:rPr>
        <w:lastRenderedPageBreak/>
        <w:t>Mount faculty are invited to submit proposals to the Committee on Research and Publications (CRP), chaired by the Associate Vice-President, Research. The CRP will assess proposals on the basis of their alignment with the focus and intentions of the grant initiative and of their potential to achieve the broader goal of building research capacity.</w:t>
      </w:r>
      <w:r w:rsidR="00994D03">
        <w:rPr>
          <w:rFonts w:asciiTheme="majorHAnsi" w:hAnsiTheme="majorHAnsi"/>
        </w:rPr>
        <w:t xml:space="preserve"> Adjudication matrices for the SSHRC Explore and Exchange opportunities can be found on the Research Office website.</w:t>
      </w:r>
      <w:r w:rsidRPr="008D5DD3">
        <w:rPr>
          <w:rFonts w:asciiTheme="majorHAnsi" w:hAnsiTheme="majorHAnsi"/>
        </w:rPr>
        <w:t xml:space="preserve">  </w:t>
      </w:r>
    </w:p>
    <w:p w14:paraId="776DAA37" w14:textId="77777777" w:rsidR="004F6284" w:rsidRPr="008D5DD3" w:rsidRDefault="004F6284" w:rsidP="004F6284">
      <w:pPr>
        <w:rPr>
          <w:rFonts w:asciiTheme="majorHAnsi" w:hAnsiTheme="majorHAnsi" w:cstheme="minorHAnsi"/>
          <w:b/>
        </w:rPr>
      </w:pPr>
      <w:r w:rsidRPr="008D5DD3">
        <w:rPr>
          <w:rFonts w:asciiTheme="majorHAnsi" w:hAnsiTheme="majorHAnsi" w:cstheme="minorHAnsi"/>
          <w:b/>
        </w:rPr>
        <w:t>Eligibility Requirement</w:t>
      </w:r>
    </w:p>
    <w:p w14:paraId="45280341" w14:textId="23C278E8" w:rsidR="004F6284" w:rsidRPr="008D5DD3" w:rsidRDefault="004F6284" w:rsidP="004F6284">
      <w:pPr>
        <w:rPr>
          <w:rFonts w:asciiTheme="majorHAnsi" w:hAnsiTheme="majorHAnsi" w:cstheme="minorHAnsi"/>
        </w:rPr>
      </w:pPr>
      <w:r w:rsidRPr="008D5DD3">
        <w:rPr>
          <w:rFonts w:asciiTheme="majorHAnsi" w:hAnsiTheme="majorHAnsi" w:cstheme="minorHAnsi"/>
        </w:rPr>
        <w:t>This internal grant competition is open to all current full-time Mount Saint Vincent University faculty</w:t>
      </w:r>
      <w:r w:rsidR="00F50408">
        <w:rPr>
          <w:rFonts w:asciiTheme="majorHAnsi" w:hAnsiTheme="majorHAnsi" w:cstheme="minorHAnsi"/>
        </w:rPr>
        <w:t>. For more information, please</w:t>
      </w:r>
      <w:r w:rsidR="00872D4A">
        <w:rPr>
          <w:rFonts w:asciiTheme="majorHAnsi" w:hAnsiTheme="majorHAnsi" w:cstheme="minorHAnsi"/>
        </w:rPr>
        <w:t xml:space="preserve"> see CRP.SOP.002 Eligibility</w:t>
      </w:r>
      <w:r w:rsidR="00994D03">
        <w:rPr>
          <w:rFonts w:asciiTheme="majorHAnsi" w:hAnsiTheme="majorHAnsi" w:cstheme="minorHAnsi"/>
        </w:rPr>
        <w:t>.</w:t>
      </w:r>
    </w:p>
    <w:p w14:paraId="2B11B772" w14:textId="43E01A02" w:rsidR="00F50408" w:rsidRPr="008D5DD3" w:rsidRDefault="004F6284" w:rsidP="004F6284">
      <w:pPr>
        <w:rPr>
          <w:rFonts w:asciiTheme="majorHAnsi" w:hAnsiTheme="majorHAnsi" w:cstheme="minorHAnsi"/>
        </w:rPr>
      </w:pPr>
      <w:r w:rsidRPr="008D5DD3">
        <w:rPr>
          <w:rFonts w:asciiTheme="majorHAnsi" w:hAnsiTheme="majorHAnsi" w:cstheme="minorHAnsi"/>
        </w:rPr>
        <w:t>Application</w:t>
      </w:r>
      <w:r w:rsidR="00F50408" w:rsidRPr="008D5DD3">
        <w:rPr>
          <w:rFonts w:asciiTheme="majorHAnsi" w:hAnsiTheme="majorHAnsi" w:cstheme="minorHAnsi"/>
        </w:rPr>
        <w:t>s</w:t>
      </w:r>
      <w:r w:rsidRPr="008D5DD3">
        <w:rPr>
          <w:rFonts w:asciiTheme="majorHAnsi" w:hAnsiTheme="majorHAnsi" w:cstheme="minorHAnsi"/>
        </w:rPr>
        <w:t xml:space="preserve"> to th</w:t>
      </w:r>
      <w:r w:rsidR="00F50408" w:rsidRPr="008D5DD3">
        <w:rPr>
          <w:rFonts w:asciiTheme="majorHAnsi" w:hAnsiTheme="majorHAnsi" w:cstheme="minorHAnsi"/>
        </w:rPr>
        <w:t>ese</w:t>
      </w:r>
      <w:r w:rsidRPr="008D5DD3">
        <w:rPr>
          <w:rFonts w:asciiTheme="majorHAnsi" w:hAnsiTheme="majorHAnsi" w:cstheme="minorHAnsi"/>
        </w:rPr>
        <w:t xml:space="preserve"> competition</w:t>
      </w:r>
      <w:r w:rsidR="00F50408" w:rsidRPr="008D5DD3">
        <w:rPr>
          <w:rFonts w:asciiTheme="majorHAnsi" w:hAnsiTheme="majorHAnsi" w:cstheme="minorHAnsi"/>
        </w:rPr>
        <w:t>s</w:t>
      </w:r>
      <w:r w:rsidRPr="008D5DD3">
        <w:rPr>
          <w:rFonts w:asciiTheme="majorHAnsi" w:hAnsiTheme="majorHAnsi" w:cstheme="minorHAnsi"/>
        </w:rPr>
        <w:t xml:space="preserve"> should be completed on the Internal Grant Application form</w:t>
      </w:r>
      <w:r w:rsidR="00F50408" w:rsidRPr="008D5DD3">
        <w:rPr>
          <w:rFonts w:asciiTheme="majorHAnsi" w:hAnsiTheme="majorHAnsi" w:cstheme="minorHAnsi"/>
        </w:rPr>
        <w:t xml:space="preserve">s CRP.FORM. 012 SSHRC Explore Grant, and CRP.FORM.013 SSHRC Exchange Grant. </w:t>
      </w:r>
    </w:p>
    <w:p w14:paraId="520FCCD5" w14:textId="4B944075" w:rsidR="004F6284" w:rsidRPr="008D5DD3" w:rsidRDefault="004F6284" w:rsidP="004F6284">
      <w:pPr>
        <w:rPr>
          <w:rFonts w:asciiTheme="majorHAnsi" w:hAnsiTheme="majorHAnsi" w:cstheme="minorHAnsi"/>
        </w:rPr>
      </w:pPr>
      <w:r w:rsidRPr="008D5DD3">
        <w:rPr>
          <w:rFonts w:asciiTheme="majorHAnsi" w:hAnsiTheme="majorHAnsi" w:cstheme="minorHAnsi"/>
        </w:rPr>
        <w:t>For further information or inquiries</w:t>
      </w:r>
      <w:r w:rsidR="00AC62C0">
        <w:rPr>
          <w:rFonts w:asciiTheme="majorHAnsi" w:hAnsiTheme="majorHAnsi" w:cstheme="minorHAnsi"/>
        </w:rPr>
        <w:t>,</w:t>
      </w:r>
      <w:r w:rsidRPr="008D5DD3">
        <w:rPr>
          <w:rFonts w:asciiTheme="majorHAnsi" w:hAnsiTheme="majorHAnsi" w:cstheme="minorHAnsi"/>
        </w:rPr>
        <w:t xml:space="preserve"> please contact </w:t>
      </w:r>
      <w:hyperlink r:id="rId12" w:history="1">
        <w:r w:rsidR="00F50408" w:rsidRPr="008D5DD3">
          <w:rPr>
            <w:rStyle w:val="Hyperlink"/>
            <w:rFonts w:asciiTheme="majorHAnsi" w:hAnsiTheme="majorHAnsi" w:cstheme="minorHAnsi"/>
          </w:rPr>
          <w:t>research@msvu.ca</w:t>
        </w:r>
      </w:hyperlink>
      <w:r w:rsidR="00F50408" w:rsidRPr="008D5DD3">
        <w:rPr>
          <w:rFonts w:asciiTheme="majorHAnsi" w:hAnsiTheme="majorHAnsi" w:cstheme="minorHAnsi"/>
        </w:rPr>
        <w:t xml:space="preserve">. </w:t>
      </w:r>
    </w:p>
    <w:p w14:paraId="4331DC33" w14:textId="77777777" w:rsidR="004F6284" w:rsidRPr="00DC01B9" w:rsidRDefault="004F6284" w:rsidP="004F6284">
      <w:pPr>
        <w:rPr>
          <w:rFonts w:cstheme="minorHAnsi"/>
        </w:rPr>
      </w:pPr>
    </w:p>
    <w:p w14:paraId="6AD95BAE" w14:textId="77777777" w:rsidR="004F6284" w:rsidRPr="004F6284" w:rsidRDefault="004F6284" w:rsidP="009E7A87">
      <w:pPr>
        <w:rPr>
          <w:rFonts w:asciiTheme="majorHAnsi" w:hAnsiTheme="majorHAnsi"/>
          <w:color w:val="000000" w:themeColor="text1"/>
          <w:sz w:val="24"/>
          <w:szCs w:val="24"/>
        </w:rPr>
      </w:pPr>
    </w:p>
    <w:p w14:paraId="2F9F032B" w14:textId="77777777" w:rsidR="009E7A87" w:rsidRPr="009E7A87" w:rsidRDefault="009E7A87" w:rsidP="009E7A87">
      <w:pPr>
        <w:spacing w:after="288" w:line="336" w:lineRule="atLeast"/>
        <w:rPr>
          <w:rFonts w:asciiTheme="majorHAnsi" w:hAnsiTheme="majorHAnsi" w:cs="Arial"/>
          <w:color w:val="000000" w:themeColor="text1"/>
          <w:sz w:val="24"/>
          <w:szCs w:val="24"/>
          <w:lang w:val="en"/>
        </w:rPr>
      </w:pPr>
    </w:p>
    <w:sectPr w:rsidR="009E7A87" w:rsidRPr="009E7A87" w:rsidSect="00541308">
      <w:footerReference w:type="default" r:id="rId13"/>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512AAE" w14:textId="77777777" w:rsidR="00D54364" w:rsidRDefault="00D54364" w:rsidP="00C142DD">
      <w:pPr>
        <w:spacing w:after="0" w:line="240" w:lineRule="auto"/>
      </w:pPr>
      <w:r>
        <w:separator/>
      </w:r>
    </w:p>
  </w:endnote>
  <w:endnote w:type="continuationSeparator" w:id="0">
    <w:p w14:paraId="43DF10A1" w14:textId="77777777" w:rsidR="00D54364" w:rsidRDefault="00D54364" w:rsidP="00C14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2BF1D" w14:textId="77777777" w:rsidR="00D54364" w:rsidRDefault="00D54364">
    <w:pPr>
      <w:pStyle w:val="Footer"/>
      <w:pBdr>
        <w:top w:val="thinThickSmallGap" w:sz="24" w:space="1" w:color="622423" w:themeColor="accent2" w:themeShade="7F"/>
      </w:pBdr>
      <w:rPr>
        <w:rFonts w:asciiTheme="majorHAnsi" w:hAnsiTheme="majorHAnsi"/>
      </w:rPr>
    </w:pPr>
    <w:r>
      <w:rPr>
        <w:rFonts w:asciiTheme="majorHAnsi" w:hAnsiTheme="majorHAnsi"/>
      </w:rPr>
      <w:t>CRP.SOP.010</w:t>
    </w:r>
  </w:p>
  <w:p w14:paraId="2F3A7C93" w14:textId="7947E834" w:rsidR="00D54364" w:rsidRDefault="00AC62C0">
    <w:pPr>
      <w:pStyle w:val="Footer"/>
      <w:pBdr>
        <w:top w:val="thinThickSmallGap" w:sz="24" w:space="1" w:color="622423" w:themeColor="accent2" w:themeShade="7F"/>
      </w:pBdr>
      <w:rPr>
        <w:rFonts w:asciiTheme="majorHAnsi" w:hAnsiTheme="majorHAnsi"/>
      </w:rPr>
    </w:pPr>
    <w:r>
      <w:rPr>
        <w:rFonts w:asciiTheme="majorHAnsi" w:hAnsiTheme="majorHAnsi"/>
      </w:rPr>
      <w:t>July 2021</w:t>
    </w:r>
    <w:r w:rsidR="00D54364">
      <w:rPr>
        <w:rFonts w:asciiTheme="majorHAnsi" w:hAnsiTheme="majorHAnsi"/>
      </w:rPr>
      <w:ptab w:relativeTo="margin" w:alignment="right" w:leader="none"/>
    </w:r>
    <w:r w:rsidR="00D54364">
      <w:rPr>
        <w:rFonts w:asciiTheme="majorHAnsi" w:hAnsiTheme="majorHAnsi"/>
      </w:rPr>
      <w:t xml:space="preserve">Page </w:t>
    </w:r>
    <w:r w:rsidR="00D54364">
      <w:fldChar w:fldCharType="begin"/>
    </w:r>
    <w:r w:rsidR="00D54364">
      <w:instrText xml:space="preserve"> PAGE   \* MERGEFORMAT </w:instrText>
    </w:r>
    <w:r w:rsidR="00D54364">
      <w:fldChar w:fldCharType="separate"/>
    </w:r>
    <w:r w:rsidR="008F14CB" w:rsidRPr="008F14CB">
      <w:rPr>
        <w:rFonts w:asciiTheme="majorHAnsi" w:hAnsiTheme="majorHAnsi"/>
        <w:noProof/>
      </w:rPr>
      <w:t>3</w:t>
    </w:r>
    <w:r w:rsidR="00D54364">
      <w:rPr>
        <w:rFonts w:asciiTheme="majorHAnsi" w:hAnsiTheme="majorHAnsi"/>
        <w:noProof/>
      </w:rPr>
      <w:fldChar w:fldCharType="end"/>
    </w:r>
    <w:r w:rsidR="00D54364">
      <w:t xml:space="preserve"> </w:t>
    </w:r>
  </w:p>
  <w:p w14:paraId="71C9E05A" w14:textId="77777777" w:rsidR="00D54364" w:rsidRDefault="00D54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B0CB70" w14:textId="77777777" w:rsidR="00D54364" w:rsidRDefault="00D54364" w:rsidP="00C142DD">
      <w:pPr>
        <w:spacing w:after="0" w:line="240" w:lineRule="auto"/>
      </w:pPr>
      <w:r>
        <w:separator/>
      </w:r>
    </w:p>
  </w:footnote>
  <w:footnote w:type="continuationSeparator" w:id="0">
    <w:p w14:paraId="61797382" w14:textId="77777777" w:rsidR="00D54364" w:rsidRDefault="00D54364" w:rsidP="00C142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86pt;height:414pt" o:bullet="t">
        <v:imagedata r:id="rId1" o:title="paw2"/>
      </v:shape>
    </w:pict>
  </w:numPicBullet>
  <w:abstractNum w:abstractNumId="0" w15:restartNumberingAfterBreak="0">
    <w:nsid w:val="10FE1F0E"/>
    <w:multiLevelType w:val="hybridMultilevel"/>
    <w:tmpl w:val="C400D1B8"/>
    <w:lvl w:ilvl="0" w:tplc="C0925C4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start w:val="1"/>
      <w:numFmt w:val="decimal"/>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B34C5"/>
    <w:multiLevelType w:val="multilevel"/>
    <w:tmpl w:val="29A652E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26B80F1D"/>
    <w:multiLevelType w:val="multilevel"/>
    <w:tmpl w:val="1FC4EA2A"/>
    <w:lvl w:ilvl="0">
      <w:start w:val="1"/>
      <w:numFmt w:val="bullet"/>
      <w:lvlText w:val=""/>
      <w:lvlJc w:val="left"/>
      <w:pPr>
        <w:tabs>
          <w:tab w:val="num" w:pos="1755"/>
        </w:tabs>
        <w:ind w:left="1755" w:hanging="360"/>
      </w:pPr>
      <w:rPr>
        <w:rFonts w:ascii="Symbol" w:hAnsi="Symbol" w:hint="default"/>
        <w:sz w:val="20"/>
      </w:rPr>
    </w:lvl>
    <w:lvl w:ilvl="1" w:tentative="1">
      <w:start w:val="1"/>
      <w:numFmt w:val="bullet"/>
      <w:lvlText w:val="o"/>
      <w:lvlJc w:val="left"/>
      <w:pPr>
        <w:tabs>
          <w:tab w:val="num" w:pos="2475"/>
        </w:tabs>
        <w:ind w:left="2475" w:hanging="360"/>
      </w:pPr>
      <w:rPr>
        <w:rFonts w:ascii="Courier New" w:hAnsi="Courier New" w:hint="default"/>
        <w:sz w:val="20"/>
      </w:rPr>
    </w:lvl>
    <w:lvl w:ilvl="2" w:tentative="1">
      <w:start w:val="1"/>
      <w:numFmt w:val="bullet"/>
      <w:lvlText w:val=""/>
      <w:lvlJc w:val="left"/>
      <w:pPr>
        <w:tabs>
          <w:tab w:val="num" w:pos="3195"/>
        </w:tabs>
        <w:ind w:left="3195" w:hanging="360"/>
      </w:pPr>
      <w:rPr>
        <w:rFonts w:ascii="Wingdings" w:hAnsi="Wingdings" w:hint="default"/>
        <w:sz w:val="20"/>
      </w:rPr>
    </w:lvl>
    <w:lvl w:ilvl="3" w:tentative="1">
      <w:start w:val="1"/>
      <w:numFmt w:val="bullet"/>
      <w:lvlText w:val=""/>
      <w:lvlJc w:val="left"/>
      <w:pPr>
        <w:tabs>
          <w:tab w:val="num" w:pos="3915"/>
        </w:tabs>
        <w:ind w:left="3915" w:hanging="360"/>
      </w:pPr>
      <w:rPr>
        <w:rFonts w:ascii="Wingdings" w:hAnsi="Wingdings" w:hint="default"/>
        <w:sz w:val="20"/>
      </w:rPr>
    </w:lvl>
    <w:lvl w:ilvl="4" w:tentative="1">
      <w:start w:val="1"/>
      <w:numFmt w:val="bullet"/>
      <w:lvlText w:val=""/>
      <w:lvlJc w:val="left"/>
      <w:pPr>
        <w:tabs>
          <w:tab w:val="num" w:pos="4635"/>
        </w:tabs>
        <w:ind w:left="4635" w:hanging="360"/>
      </w:pPr>
      <w:rPr>
        <w:rFonts w:ascii="Wingdings" w:hAnsi="Wingdings" w:hint="default"/>
        <w:sz w:val="20"/>
      </w:rPr>
    </w:lvl>
    <w:lvl w:ilvl="5" w:tentative="1">
      <w:start w:val="1"/>
      <w:numFmt w:val="bullet"/>
      <w:lvlText w:val=""/>
      <w:lvlJc w:val="left"/>
      <w:pPr>
        <w:tabs>
          <w:tab w:val="num" w:pos="5355"/>
        </w:tabs>
        <w:ind w:left="5355" w:hanging="360"/>
      </w:pPr>
      <w:rPr>
        <w:rFonts w:ascii="Wingdings" w:hAnsi="Wingdings" w:hint="default"/>
        <w:sz w:val="20"/>
      </w:rPr>
    </w:lvl>
    <w:lvl w:ilvl="6" w:tentative="1">
      <w:start w:val="1"/>
      <w:numFmt w:val="bullet"/>
      <w:lvlText w:val=""/>
      <w:lvlJc w:val="left"/>
      <w:pPr>
        <w:tabs>
          <w:tab w:val="num" w:pos="6075"/>
        </w:tabs>
        <w:ind w:left="6075" w:hanging="360"/>
      </w:pPr>
      <w:rPr>
        <w:rFonts w:ascii="Wingdings" w:hAnsi="Wingdings" w:hint="default"/>
        <w:sz w:val="20"/>
      </w:rPr>
    </w:lvl>
    <w:lvl w:ilvl="7" w:tentative="1">
      <w:start w:val="1"/>
      <w:numFmt w:val="bullet"/>
      <w:lvlText w:val=""/>
      <w:lvlJc w:val="left"/>
      <w:pPr>
        <w:tabs>
          <w:tab w:val="num" w:pos="6795"/>
        </w:tabs>
        <w:ind w:left="6795" w:hanging="360"/>
      </w:pPr>
      <w:rPr>
        <w:rFonts w:ascii="Wingdings" w:hAnsi="Wingdings" w:hint="default"/>
        <w:sz w:val="20"/>
      </w:rPr>
    </w:lvl>
    <w:lvl w:ilvl="8" w:tentative="1">
      <w:start w:val="1"/>
      <w:numFmt w:val="bullet"/>
      <w:lvlText w:val=""/>
      <w:lvlJc w:val="left"/>
      <w:pPr>
        <w:tabs>
          <w:tab w:val="num" w:pos="7515"/>
        </w:tabs>
        <w:ind w:left="7515" w:hanging="360"/>
      </w:pPr>
      <w:rPr>
        <w:rFonts w:ascii="Wingdings" w:hAnsi="Wingdings" w:hint="default"/>
        <w:sz w:val="20"/>
      </w:rPr>
    </w:lvl>
  </w:abstractNum>
  <w:abstractNum w:abstractNumId="3" w15:restartNumberingAfterBreak="0">
    <w:nsid w:val="5C1A11CC"/>
    <w:multiLevelType w:val="hybridMultilevel"/>
    <w:tmpl w:val="C57EE7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6351D3"/>
    <w:multiLevelType w:val="hybridMultilevel"/>
    <w:tmpl w:val="4F90C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5C8440A"/>
    <w:multiLevelType w:val="hybridMultilevel"/>
    <w:tmpl w:val="849E0E32"/>
    <w:lvl w:ilvl="0" w:tplc="F814A900">
      <w:start w:val="1"/>
      <w:numFmt w:val="bullet"/>
      <w:lvlText w:val=""/>
      <w:lvlPicBulletId w:val="0"/>
      <w:lvlJc w:val="left"/>
      <w:pPr>
        <w:ind w:left="2340" w:hanging="360"/>
      </w:pPr>
      <w:rPr>
        <w:rFonts w:ascii="Symbol" w:hAnsi="Symbol" w:hint="default"/>
      </w:rPr>
    </w:lvl>
    <w:lvl w:ilvl="1" w:tplc="04090003">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3"/>
  </w:num>
  <w:num w:numId="3">
    <w:abstractNumId w:val="5"/>
  </w:num>
  <w:num w:numId="4">
    <w:abstractNumId w:val="0"/>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FE3"/>
    <w:rsid w:val="00002909"/>
    <w:rsid w:val="00010739"/>
    <w:rsid w:val="00013B3A"/>
    <w:rsid w:val="00024BD4"/>
    <w:rsid w:val="00025E77"/>
    <w:rsid w:val="0003194D"/>
    <w:rsid w:val="0003349C"/>
    <w:rsid w:val="00043ABF"/>
    <w:rsid w:val="000503FE"/>
    <w:rsid w:val="00052E89"/>
    <w:rsid w:val="00054952"/>
    <w:rsid w:val="0006698F"/>
    <w:rsid w:val="00072460"/>
    <w:rsid w:val="000759F0"/>
    <w:rsid w:val="00095979"/>
    <w:rsid w:val="00096285"/>
    <w:rsid w:val="000B4C88"/>
    <w:rsid w:val="000B622B"/>
    <w:rsid w:val="000B6CC4"/>
    <w:rsid w:val="000B6E07"/>
    <w:rsid w:val="000C54D3"/>
    <w:rsid w:val="000C58BF"/>
    <w:rsid w:val="000C590F"/>
    <w:rsid w:val="000E2D9D"/>
    <w:rsid w:val="000F5BDA"/>
    <w:rsid w:val="000F6B1C"/>
    <w:rsid w:val="000F7758"/>
    <w:rsid w:val="0010163D"/>
    <w:rsid w:val="001054B0"/>
    <w:rsid w:val="001155AA"/>
    <w:rsid w:val="00120978"/>
    <w:rsid w:val="00122A3D"/>
    <w:rsid w:val="00126B19"/>
    <w:rsid w:val="001360F7"/>
    <w:rsid w:val="00145D21"/>
    <w:rsid w:val="001512B5"/>
    <w:rsid w:val="00155B21"/>
    <w:rsid w:val="0015797F"/>
    <w:rsid w:val="00160431"/>
    <w:rsid w:val="00162809"/>
    <w:rsid w:val="0016343A"/>
    <w:rsid w:val="00165298"/>
    <w:rsid w:val="00167C4B"/>
    <w:rsid w:val="00172EF1"/>
    <w:rsid w:val="00182207"/>
    <w:rsid w:val="00185765"/>
    <w:rsid w:val="00191C0D"/>
    <w:rsid w:val="00192261"/>
    <w:rsid w:val="00194601"/>
    <w:rsid w:val="00195761"/>
    <w:rsid w:val="00195A67"/>
    <w:rsid w:val="00195E77"/>
    <w:rsid w:val="001A1AA8"/>
    <w:rsid w:val="001A63B3"/>
    <w:rsid w:val="001A7A91"/>
    <w:rsid w:val="001B0CE6"/>
    <w:rsid w:val="001C07E5"/>
    <w:rsid w:val="001C1FE3"/>
    <w:rsid w:val="001C66E8"/>
    <w:rsid w:val="001C7B38"/>
    <w:rsid w:val="001C7EAD"/>
    <w:rsid w:val="001D1E94"/>
    <w:rsid w:val="001D78C6"/>
    <w:rsid w:val="001F26BE"/>
    <w:rsid w:val="001F4E38"/>
    <w:rsid w:val="00202E7B"/>
    <w:rsid w:val="00203CFA"/>
    <w:rsid w:val="00205883"/>
    <w:rsid w:val="002114B8"/>
    <w:rsid w:val="00212092"/>
    <w:rsid w:val="002150B3"/>
    <w:rsid w:val="00222BC4"/>
    <w:rsid w:val="00226B2D"/>
    <w:rsid w:val="0023204E"/>
    <w:rsid w:val="0023575E"/>
    <w:rsid w:val="00252A31"/>
    <w:rsid w:val="0025381D"/>
    <w:rsid w:val="002721AB"/>
    <w:rsid w:val="002751BD"/>
    <w:rsid w:val="002817AF"/>
    <w:rsid w:val="00282A98"/>
    <w:rsid w:val="002869C4"/>
    <w:rsid w:val="00295353"/>
    <w:rsid w:val="002954D2"/>
    <w:rsid w:val="002A14BE"/>
    <w:rsid w:val="002C42E0"/>
    <w:rsid w:val="002D0A52"/>
    <w:rsid w:val="002D0C13"/>
    <w:rsid w:val="002D41F4"/>
    <w:rsid w:val="002D5460"/>
    <w:rsid w:val="002D66E1"/>
    <w:rsid w:val="002E532F"/>
    <w:rsid w:val="002E68FD"/>
    <w:rsid w:val="002F6CCB"/>
    <w:rsid w:val="00316266"/>
    <w:rsid w:val="00323F4F"/>
    <w:rsid w:val="003243A7"/>
    <w:rsid w:val="00333DD1"/>
    <w:rsid w:val="00334195"/>
    <w:rsid w:val="003401B9"/>
    <w:rsid w:val="00353156"/>
    <w:rsid w:val="00354F8C"/>
    <w:rsid w:val="00356E3B"/>
    <w:rsid w:val="00360CF1"/>
    <w:rsid w:val="00360D2E"/>
    <w:rsid w:val="003610D8"/>
    <w:rsid w:val="00361411"/>
    <w:rsid w:val="003652E6"/>
    <w:rsid w:val="00365972"/>
    <w:rsid w:val="0038137E"/>
    <w:rsid w:val="00382EC2"/>
    <w:rsid w:val="00383694"/>
    <w:rsid w:val="00385B20"/>
    <w:rsid w:val="0039056B"/>
    <w:rsid w:val="003934E8"/>
    <w:rsid w:val="00395B99"/>
    <w:rsid w:val="00396DA2"/>
    <w:rsid w:val="003A03CD"/>
    <w:rsid w:val="003A11F6"/>
    <w:rsid w:val="003A6B66"/>
    <w:rsid w:val="003A73B0"/>
    <w:rsid w:val="003A7560"/>
    <w:rsid w:val="003A7DB2"/>
    <w:rsid w:val="003B3114"/>
    <w:rsid w:val="003C0DD6"/>
    <w:rsid w:val="003D0400"/>
    <w:rsid w:val="003D0676"/>
    <w:rsid w:val="003D4158"/>
    <w:rsid w:val="003D52F5"/>
    <w:rsid w:val="003D583D"/>
    <w:rsid w:val="003D6D1E"/>
    <w:rsid w:val="003E3521"/>
    <w:rsid w:val="004038F3"/>
    <w:rsid w:val="004044BC"/>
    <w:rsid w:val="00406018"/>
    <w:rsid w:val="00415EC4"/>
    <w:rsid w:val="00421CBF"/>
    <w:rsid w:val="00427CE2"/>
    <w:rsid w:val="004576AE"/>
    <w:rsid w:val="00457E09"/>
    <w:rsid w:val="0046575F"/>
    <w:rsid w:val="004729A0"/>
    <w:rsid w:val="0047385E"/>
    <w:rsid w:val="0047483A"/>
    <w:rsid w:val="004807BE"/>
    <w:rsid w:val="004823C5"/>
    <w:rsid w:val="00486951"/>
    <w:rsid w:val="004904EB"/>
    <w:rsid w:val="00491122"/>
    <w:rsid w:val="004A68F0"/>
    <w:rsid w:val="004C381C"/>
    <w:rsid w:val="004D0628"/>
    <w:rsid w:val="004D09D6"/>
    <w:rsid w:val="004D5274"/>
    <w:rsid w:val="004E01D4"/>
    <w:rsid w:val="004F0676"/>
    <w:rsid w:val="004F6284"/>
    <w:rsid w:val="004F68F1"/>
    <w:rsid w:val="005003C1"/>
    <w:rsid w:val="00504117"/>
    <w:rsid w:val="00507076"/>
    <w:rsid w:val="00514226"/>
    <w:rsid w:val="00523FB7"/>
    <w:rsid w:val="00524387"/>
    <w:rsid w:val="00531194"/>
    <w:rsid w:val="00534081"/>
    <w:rsid w:val="00541308"/>
    <w:rsid w:val="0054628A"/>
    <w:rsid w:val="00554783"/>
    <w:rsid w:val="0056439B"/>
    <w:rsid w:val="00582DFA"/>
    <w:rsid w:val="005A4B0D"/>
    <w:rsid w:val="005A7A50"/>
    <w:rsid w:val="005B1F2A"/>
    <w:rsid w:val="005D0CB0"/>
    <w:rsid w:val="005E4CA7"/>
    <w:rsid w:val="005F3FC7"/>
    <w:rsid w:val="006016BE"/>
    <w:rsid w:val="00601DD5"/>
    <w:rsid w:val="00612E18"/>
    <w:rsid w:val="006136D8"/>
    <w:rsid w:val="00617584"/>
    <w:rsid w:val="0061761C"/>
    <w:rsid w:val="00621165"/>
    <w:rsid w:val="00626CEB"/>
    <w:rsid w:val="00655E48"/>
    <w:rsid w:val="00656896"/>
    <w:rsid w:val="00657B56"/>
    <w:rsid w:val="00661EB2"/>
    <w:rsid w:val="00662BC7"/>
    <w:rsid w:val="0066717D"/>
    <w:rsid w:val="0067319A"/>
    <w:rsid w:val="00674EE4"/>
    <w:rsid w:val="00680226"/>
    <w:rsid w:val="0068531C"/>
    <w:rsid w:val="0069322E"/>
    <w:rsid w:val="0069612D"/>
    <w:rsid w:val="006A3C1D"/>
    <w:rsid w:val="006B2D89"/>
    <w:rsid w:val="006B4638"/>
    <w:rsid w:val="006B4822"/>
    <w:rsid w:val="006B4FA9"/>
    <w:rsid w:val="006C1C3B"/>
    <w:rsid w:val="006C55B0"/>
    <w:rsid w:val="006D4581"/>
    <w:rsid w:val="006D67F2"/>
    <w:rsid w:val="006E11E3"/>
    <w:rsid w:val="006E14DA"/>
    <w:rsid w:val="006F5D5B"/>
    <w:rsid w:val="006F6015"/>
    <w:rsid w:val="00703DF9"/>
    <w:rsid w:val="00706108"/>
    <w:rsid w:val="00720C16"/>
    <w:rsid w:val="007210B6"/>
    <w:rsid w:val="007256FE"/>
    <w:rsid w:val="00727B99"/>
    <w:rsid w:val="00727CEE"/>
    <w:rsid w:val="007358A2"/>
    <w:rsid w:val="007404EA"/>
    <w:rsid w:val="0074354B"/>
    <w:rsid w:val="00746F60"/>
    <w:rsid w:val="007508AC"/>
    <w:rsid w:val="00750DDD"/>
    <w:rsid w:val="007556F6"/>
    <w:rsid w:val="00755F52"/>
    <w:rsid w:val="0076336D"/>
    <w:rsid w:val="00771BD6"/>
    <w:rsid w:val="00786D3E"/>
    <w:rsid w:val="00790F2F"/>
    <w:rsid w:val="00797733"/>
    <w:rsid w:val="007A13AA"/>
    <w:rsid w:val="007A6185"/>
    <w:rsid w:val="007B40E1"/>
    <w:rsid w:val="007B63E5"/>
    <w:rsid w:val="007B7878"/>
    <w:rsid w:val="007D5316"/>
    <w:rsid w:val="007E1715"/>
    <w:rsid w:val="007E1D23"/>
    <w:rsid w:val="007E36A7"/>
    <w:rsid w:val="007E6486"/>
    <w:rsid w:val="007F7B06"/>
    <w:rsid w:val="008003D9"/>
    <w:rsid w:val="00800BA0"/>
    <w:rsid w:val="00807570"/>
    <w:rsid w:val="00814A33"/>
    <w:rsid w:val="00831F4B"/>
    <w:rsid w:val="008327B4"/>
    <w:rsid w:val="008345E3"/>
    <w:rsid w:val="008448E8"/>
    <w:rsid w:val="0084556D"/>
    <w:rsid w:val="00845B9E"/>
    <w:rsid w:val="0084763A"/>
    <w:rsid w:val="0086094A"/>
    <w:rsid w:val="00865207"/>
    <w:rsid w:val="00872D4A"/>
    <w:rsid w:val="00895196"/>
    <w:rsid w:val="00896B3E"/>
    <w:rsid w:val="008A65A2"/>
    <w:rsid w:val="008A7627"/>
    <w:rsid w:val="008A7E74"/>
    <w:rsid w:val="008B7393"/>
    <w:rsid w:val="008C311E"/>
    <w:rsid w:val="008C65AF"/>
    <w:rsid w:val="008D07CF"/>
    <w:rsid w:val="008D4A98"/>
    <w:rsid w:val="008D5DD3"/>
    <w:rsid w:val="008F14CB"/>
    <w:rsid w:val="008F5C71"/>
    <w:rsid w:val="008F60C3"/>
    <w:rsid w:val="00905541"/>
    <w:rsid w:val="0091372C"/>
    <w:rsid w:val="00922B7D"/>
    <w:rsid w:val="00922C1A"/>
    <w:rsid w:val="00945E72"/>
    <w:rsid w:val="00946FF5"/>
    <w:rsid w:val="00952DB2"/>
    <w:rsid w:val="00955C51"/>
    <w:rsid w:val="0096334E"/>
    <w:rsid w:val="00970541"/>
    <w:rsid w:val="00972920"/>
    <w:rsid w:val="009750C8"/>
    <w:rsid w:val="00981A54"/>
    <w:rsid w:val="00982104"/>
    <w:rsid w:val="00983CA4"/>
    <w:rsid w:val="00993DAF"/>
    <w:rsid w:val="00994D03"/>
    <w:rsid w:val="00995A08"/>
    <w:rsid w:val="009A26F6"/>
    <w:rsid w:val="009A287A"/>
    <w:rsid w:val="009B2977"/>
    <w:rsid w:val="009B7CBE"/>
    <w:rsid w:val="009C328B"/>
    <w:rsid w:val="009C515A"/>
    <w:rsid w:val="009D5A22"/>
    <w:rsid w:val="009E7A87"/>
    <w:rsid w:val="009F5D17"/>
    <w:rsid w:val="00A02C88"/>
    <w:rsid w:val="00A04317"/>
    <w:rsid w:val="00A061D7"/>
    <w:rsid w:val="00A31779"/>
    <w:rsid w:val="00A34F90"/>
    <w:rsid w:val="00A43597"/>
    <w:rsid w:val="00A457F3"/>
    <w:rsid w:val="00A46964"/>
    <w:rsid w:val="00A504C0"/>
    <w:rsid w:val="00A5221B"/>
    <w:rsid w:val="00A526A5"/>
    <w:rsid w:val="00A52A44"/>
    <w:rsid w:val="00A645DC"/>
    <w:rsid w:val="00A6655C"/>
    <w:rsid w:val="00A67D30"/>
    <w:rsid w:val="00A75476"/>
    <w:rsid w:val="00A8266D"/>
    <w:rsid w:val="00A83655"/>
    <w:rsid w:val="00A900A8"/>
    <w:rsid w:val="00A91503"/>
    <w:rsid w:val="00A93874"/>
    <w:rsid w:val="00A93A51"/>
    <w:rsid w:val="00A949A1"/>
    <w:rsid w:val="00A97160"/>
    <w:rsid w:val="00AA01F3"/>
    <w:rsid w:val="00AA7B4B"/>
    <w:rsid w:val="00AC3498"/>
    <w:rsid w:val="00AC62C0"/>
    <w:rsid w:val="00AD4F4E"/>
    <w:rsid w:val="00AE0D8C"/>
    <w:rsid w:val="00AE0FA1"/>
    <w:rsid w:val="00AE24BD"/>
    <w:rsid w:val="00AE25B7"/>
    <w:rsid w:val="00AE2E89"/>
    <w:rsid w:val="00AE4E56"/>
    <w:rsid w:val="00AF0078"/>
    <w:rsid w:val="00AF23DE"/>
    <w:rsid w:val="00AF3A0B"/>
    <w:rsid w:val="00B12D1A"/>
    <w:rsid w:val="00B23F3E"/>
    <w:rsid w:val="00B247C7"/>
    <w:rsid w:val="00B25A9A"/>
    <w:rsid w:val="00B26DC5"/>
    <w:rsid w:val="00B32D53"/>
    <w:rsid w:val="00B3324B"/>
    <w:rsid w:val="00B371F5"/>
    <w:rsid w:val="00B37AEE"/>
    <w:rsid w:val="00B40EFF"/>
    <w:rsid w:val="00B43D28"/>
    <w:rsid w:val="00B4599E"/>
    <w:rsid w:val="00B507D2"/>
    <w:rsid w:val="00B55192"/>
    <w:rsid w:val="00B64E38"/>
    <w:rsid w:val="00B654DC"/>
    <w:rsid w:val="00B70409"/>
    <w:rsid w:val="00B75556"/>
    <w:rsid w:val="00B76190"/>
    <w:rsid w:val="00B84E18"/>
    <w:rsid w:val="00B85A82"/>
    <w:rsid w:val="00B87CB7"/>
    <w:rsid w:val="00B97816"/>
    <w:rsid w:val="00BA6A05"/>
    <w:rsid w:val="00BA7B89"/>
    <w:rsid w:val="00BB23B0"/>
    <w:rsid w:val="00BB2489"/>
    <w:rsid w:val="00BB61EE"/>
    <w:rsid w:val="00BB731F"/>
    <w:rsid w:val="00BC1FAB"/>
    <w:rsid w:val="00BC28B2"/>
    <w:rsid w:val="00BC6E46"/>
    <w:rsid w:val="00BD693B"/>
    <w:rsid w:val="00BE2A08"/>
    <w:rsid w:val="00BE4C2A"/>
    <w:rsid w:val="00BE6795"/>
    <w:rsid w:val="00BF3847"/>
    <w:rsid w:val="00BF71A2"/>
    <w:rsid w:val="00C13912"/>
    <w:rsid w:val="00C142DD"/>
    <w:rsid w:val="00C16A16"/>
    <w:rsid w:val="00C17059"/>
    <w:rsid w:val="00C220EB"/>
    <w:rsid w:val="00C2284D"/>
    <w:rsid w:val="00C32B53"/>
    <w:rsid w:val="00C43DAA"/>
    <w:rsid w:val="00C72C7B"/>
    <w:rsid w:val="00C769C8"/>
    <w:rsid w:val="00C802AD"/>
    <w:rsid w:val="00C84338"/>
    <w:rsid w:val="00C874E2"/>
    <w:rsid w:val="00CA2D27"/>
    <w:rsid w:val="00CB56F5"/>
    <w:rsid w:val="00CB67EA"/>
    <w:rsid w:val="00CC4E81"/>
    <w:rsid w:val="00CD282F"/>
    <w:rsid w:val="00CD2BD2"/>
    <w:rsid w:val="00CD36BC"/>
    <w:rsid w:val="00CD7614"/>
    <w:rsid w:val="00CF281A"/>
    <w:rsid w:val="00D01108"/>
    <w:rsid w:val="00D021B5"/>
    <w:rsid w:val="00D0363A"/>
    <w:rsid w:val="00D22BCC"/>
    <w:rsid w:val="00D2664F"/>
    <w:rsid w:val="00D302B0"/>
    <w:rsid w:val="00D30D6D"/>
    <w:rsid w:val="00D42588"/>
    <w:rsid w:val="00D474E6"/>
    <w:rsid w:val="00D52A81"/>
    <w:rsid w:val="00D52CE1"/>
    <w:rsid w:val="00D52E58"/>
    <w:rsid w:val="00D54349"/>
    <w:rsid w:val="00D54364"/>
    <w:rsid w:val="00D55C25"/>
    <w:rsid w:val="00D6305D"/>
    <w:rsid w:val="00D67A41"/>
    <w:rsid w:val="00D67E62"/>
    <w:rsid w:val="00D7515D"/>
    <w:rsid w:val="00D753E6"/>
    <w:rsid w:val="00D85965"/>
    <w:rsid w:val="00D93492"/>
    <w:rsid w:val="00D9353F"/>
    <w:rsid w:val="00D97109"/>
    <w:rsid w:val="00DA604B"/>
    <w:rsid w:val="00DA798E"/>
    <w:rsid w:val="00DB52DA"/>
    <w:rsid w:val="00DB735D"/>
    <w:rsid w:val="00DC0B43"/>
    <w:rsid w:val="00DC1E68"/>
    <w:rsid w:val="00DC53AF"/>
    <w:rsid w:val="00DD03F7"/>
    <w:rsid w:val="00DD0907"/>
    <w:rsid w:val="00DD23FB"/>
    <w:rsid w:val="00DE0C54"/>
    <w:rsid w:val="00DE260B"/>
    <w:rsid w:val="00DE5518"/>
    <w:rsid w:val="00DF3A33"/>
    <w:rsid w:val="00DF51B8"/>
    <w:rsid w:val="00E00105"/>
    <w:rsid w:val="00E00142"/>
    <w:rsid w:val="00E0289D"/>
    <w:rsid w:val="00E04C5A"/>
    <w:rsid w:val="00E10835"/>
    <w:rsid w:val="00E12F20"/>
    <w:rsid w:val="00E1311F"/>
    <w:rsid w:val="00E1318D"/>
    <w:rsid w:val="00E14A5A"/>
    <w:rsid w:val="00E1752E"/>
    <w:rsid w:val="00E20079"/>
    <w:rsid w:val="00E31560"/>
    <w:rsid w:val="00E32E2E"/>
    <w:rsid w:val="00E35327"/>
    <w:rsid w:val="00E3590E"/>
    <w:rsid w:val="00E4196E"/>
    <w:rsid w:val="00E42C82"/>
    <w:rsid w:val="00E453E8"/>
    <w:rsid w:val="00E517C0"/>
    <w:rsid w:val="00E54E09"/>
    <w:rsid w:val="00E56D89"/>
    <w:rsid w:val="00E60068"/>
    <w:rsid w:val="00E67DA3"/>
    <w:rsid w:val="00E715E0"/>
    <w:rsid w:val="00E80AE9"/>
    <w:rsid w:val="00EC30C1"/>
    <w:rsid w:val="00EC4EEB"/>
    <w:rsid w:val="00EC62F8"/>
    <w:rsid w:val="00EC7E88"/>
    <w:rsid w:val="00F020CD"/>
    <w:rsid w:val="00F05469"/>
    <w:rsid w:val="00F10391"/>
    <w:rsid w:val="00F14D5F"/>
    <w:rsid w:val="00F26F6B"/>
    <w:rsid w:val="00F332DB"/>
    <w:rsid w:val="00F34081"/>
    <w:rsid w:val="00F50408"/>
    <w:rsid w:val="00F50C38"/>
    <w:rsid w:val="00F569D2"/>
    <w:rsid w:val="00F7217F"/>
    <w:rsid w:val="00F81675"/>
    <w:rsid w:val="00F86658"/>
    <w:rsid w:val="00F973C8"/>
    <w:rsid w:val="00FA17AD"/>
    <w:rsid w:val="00FB30F1"/>
    <w:rsid w:val="00FC0D1D"/>
    <w:rsid w:val="00FC3B31"/>
    <w:rsid w:val="00FC5D37"/>
    <w:rsid w:val="00FD63C5"/>
    <w:rsid w:val="00FE5431"/>
    <w:rsid w:val="00FF3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C496800"/>
  <w15:docId w15:val="{9BB9BDCD-13F6-470B-8328-4C3517AF7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29A0"/>
  </w:style>
  <w:style w:type="paragraph" w:styleId="Heading1">
    <w:name w:val="heading 1"/>
    <w:basedOn w:val="Normal"/>
    <w:next w:val="Normal"/>
    <w:link w:val="Heading1Char"/>
    <w:qFormat/>
    <w:rsid w:val="001C1FE3"/>
    <w:pPr>
      <w:keepNext/>
      <w:spacing w:before="240" w:after="60" w:line="240" w:lineRule="auto"/>
      <w:outlineLvl w:val="0"/>
    </w:pPr>
    <w:rPr>
      <w:rFonts w:ascii="Arial" w:eastAsia="Times New Roman" w:hAnsi="Arial" w:cs="Arial"/>
      <w:b/>
      <w:bCs/>
      <w:kern w:val="32"/>
      <w:sz w:val="32"/>
      <w:szCs w:val="32"/>
      <w:lang w:val="en-CA"/>
    </w:rPr>
  </w:style>
  <w:style w:type="paragraph" w:styleId="Heading2">
    <w:name w:val="heading 2"/>
    <w:basedOn w:val="Normal"/>
    <w:next w:val="Normal"/>
    <w:link w:val="Heading2Char"/>
    <w:unhideWhenUsed/>
    <w:qFormat/>
    <w:rsid w:val="001C1FE3"/>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val="en-CA"/>
    </w:rPr>
  </w:style>
  <w:style w:type="paragraph" w:styleId="Heading3">
    <w:name w:val="heading 3"/>
    <w:basedOn w:val="Normal"/>
    <w:next w:val="Normal"/>
    <w:link w:val="Heading3Char"/>
    <w:qFormat/>
    <w:rsid w:val="00F973C8"/>
    <w:pPr>
      <w:keepNext/>
      <w:spacing w:before="240" w:after="60" w:line="240" w:lineRule="auto"/>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1C1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1FE3"/>
    <w:rPr>
      <w:rFonts w:ascii="Tahoma" w:hAnsi="Tahoma" w:cs="Tahoma"/>
      <w:sz w:val="16"/>
      <w:szCs w:val="16"/>
    </w:rPr>
  </w:style>
  <w:style w:type="table" w:styleId="TableGrid">
    <w:name w:val="Table Grid"/>
    <w:basedOn w:val="TableNormal"/>
    <w:uiPriority w:val="39"/>
    <w:rsid w:val="001C1F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1C1FE3"/>
    <w:rPr>
      <w:rFonts w:ascii="Arial" w:eastAsia="Times New Roman" w:hAnsi="Arial" w:cs="Arial"/>
      <w:b/>
      <w:bCs/>
      <w:kern w:val="32"/>
      <w:sz w:val="32"/>
      <w:szCs w:val="32"/>
      <w:lang w:val="en-CA"/>
    </w:rPr>
  </w:style>
  <w:style w:type="character" w:customStyle="1" w:styleId="Heading2Char">
    <w:name w:val="Heading 2 Char"/>
    <w:basedOn w:val="DefaultParagraphFont"/>
    <w:link w:val="Heading2"/>
    <w:rsid w:val="001C1FE3"/>
    <w:rPr>
      <w:rFonts w:asciiTheme="majorHAnsi" w:eastAsiaTheme="majorEastAsia" w:hAnsiTheme="majorHAnsi" w:cstheme="majorBidi"/>
      <w:b/>
      <w:bCs/>
      <w:color w:val="4F81BD" w:themeColor="accent1"/>
      <w:sz w:val="26"/>
      <w:szCs w:val="26"/>
      <w:lang w:val="en-CA"/>
    </w:rPr>
  </w:style>
  <w:style w:type="paragraph" w:styleId="ListParagraph">
    <w:name w:val="List Paragraph"/>
    <w:basedOn w:val="Normal"/>
    <w:uiPriority w:val="34"/>
    <w:qFormat/>
    <w:rsid w:val="001C1FE3"/>
    <w:pPr>
      <w:spacing w:after="0" w:line="240" w:lineRule="auto"/>
      <w:ind w:left="720"/>
      <w:contextualSpacing/>
    </w:pPr>
    <w:rPr>
      <w:rFonts w:ascii="Times New Roman" w:eastAsia="Times New Roman" w:hAnsi="Times New Roman" w:cs="Times New Roman"/>
      <w:sz w:val="24"/>
      <w:szCs w:val="24"/>
      <w:lang w:val="en-CA"/>
    </w:rPr>
  </w:style>
  <w:style w:type="character" w:styleId="Strong">
    <w:name w:val="Strong"/>
    <w:basedOn w:val="DefaultParagraphFont"/>
    <w:qFormat/>
    <w:rsid w:val="001C1FE3"/>
    <w:rPr>
      <w:b/>
      <w:bCs/>
    </w:rPr>
  </w:style>
  <w:style w:type="paragraph" w:styleId="NormalWeb">
    <w:name w:val="Normal (Web)"/>
    <w:basedOn w:val="Normal"/>
    <w:uiPriority w:val="99"/>
    <w:unhideWhenUsed/>
    <w:rsid w:val="001C1FE3"/>
    <w:pPr>
      <w:spacing w:before="100" w:beforeAutospacing="1" w:after="100" w:afterAutospacing="1" w:line="240" w:lineRule="auto"/>
    </w:pPr>
    <w:rPr>
      <w:rFonts w:ascii="Verdana" w:eastAsia="Times New Roman" w:hAnsi="Verdana" w:cs="Times New Roman"/>
      <w:sz w:val="24"/>
      <w:szCs w:val="24"/>
    </w:rPr>
  </w:style>
  <w:style w:type="paragraph" w:styleId="Header">
    <w:name w:val="header"/>
    <w:basedOn w:val="Normal"/>
    <w:link w:val="HeaderChar"/>
    <w:unhideWhenUsed/>
    <w:rsid w:val="00C142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2DD"/>
  </w:style>
  <w:style w:type="paragraph" w:styleId="Footer">
    <w:name w:val="footer"/>
    <w:basedOn w:val="Normal"/>
    <w:link w:val="FooterChar"/>
    <w:uiPriority w:val="99"/>
    <w:unhideWhenUsed/>
    <w:rsid w:val="00C142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2DD"/>
  </w:style>
  <w:style w:type="character" w:customStyle="1" w:styleId="Heading3Char">
    <w:name w:val="Heading 3 Char"/>
    <w:basedOn w:val="DefaultParagraphFont"/>
    <w:link w:val="Heading3"/>
    <w:rsid w:val="00F973C8"/>
    <w:rPr>
      <w:rFonts w:ascii="Arial" w:eastAsia="Times New Roman" w:hAnsi="Arial" w:cs="Arial"/>
      <w:b/>
      <w:bCs/>
      <w:sz w:val="26"/>
      <w:szCs w:val="26"/>
    </w:rPr>
  </w:style>
  <w:style w:type="character" w:styleId="Hyperlink">
    <w:name w:val="Hyperlink"/>
    <w:basedOn w:val="DefaultParagraphFont"/>
    <w:rsid w:val="00F973C8"/>
    <w:rPr>
      <w:color w:val="0000FF"/>
      <w:u w:val="single"/>
    </w:rPr>
  </w:style>
  <w:style w:type="character" w:styleId="FollowedHyperlink">
    <w:name w:val="FollowedHyperlink"/>
    <w:basedOn w:val="DefaultParagraphFont"/>
    <w:rsid w:val="00F973C8"/>
    <w:rPr>
      <w:color w:val="800080"/>
      <w:u w:val="single"/>
    </w:rPr>
  </w:style>
  <w:style w:type="paragraph" w:styleId="TOC1">
    <w:name w:val="toc 1"/>
    <w:basedOn w:val="Normal"/>
    <w:next w:val="Normal"/>
    <w:autoRedefine/>
    <w:semiHidden/>
    <w:rsid w:val="00F973C8"/>
    <w:pPr>
      <w:spacing w:after="0" w:line="240" w:lineRule="auto"/>
    </w:pPr>
    <w:rPr>
      <w:rFonts w:ascii="Times New Roman" w:eastAsia="Times New Roman" w:hAnsi="Times New Roman" w:cs="Times New Roman"/>
      <w:sz w:val="24"/>
      <w:szCs w:val="24"/>
    </w:rPr>
  </w:style>
  <w:style w:type="character" w:styleId="PageNumber">
    <w:name w:val="page number"/>
    <w:basedOn w:val="DefaultParagraphFont"/>
    <w:rsid w:val="00F973C8"/>
  </w:style>
  <w:style w:type="paragraph" w:styleId="TOC2">
    <w:name w:val="toc 2"/>
    <w:basedOn w:val="Normal"/>
    <w:next w:val="Normal"/>
    <w:autoRedefine/>
    <w:semiHidden/>
    <w:rsid w:val="00F973C8"/>
    <w:pPr>
      <w:tabs>
        <w:tab w:val="left" w:pos="720"/>
        <w:tab w:val="right" w:leader="dot" w:pos="8630"/>
      </w:tabs>
      <w:spacing w:after="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semiHidden/>
    <w:rsid w:val="00F973C8"/>
    <w:rPr>
      <w:sz w:val="16"/>
      <w:szCs w:val="16"/>
    </w:rPr>
  </w:style>
  <w:style w:type="paragraph" w:styleId="CommentText">
    <w:name w:val="annotation text"/>
    <w:basedOn w:val="Normal"/>
    <w:link w:val="CommentTextChar"/>
    <w:semiHidden/>
    <w:rsid w:val="00F973C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F973C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F973C8"/>
    <w:rPr>
      <w:b/>
      <w:bCs/>
    </w:rPr>
  </w:style>
  <w:style w:type="character" w:customStyle="1" w:styleId="CommentSubjectChar">
    <w:name w:val="Comment Subject Char"/>
    <w:basedOn w:val="CommentTextChar"/>
    <w:link w:val="CommentSubject"/>
    <w:semiHidden/>
    <w:rsid w:val="00F973C8"/>
    <w:rPr>
      <w:rFonts w:ascii="Times New Roman" w:eastAsia="Times New Roman" w:hAnsi="Times New Roman" w:cs="Times New Roman"/>
      <w:b/>
      <w:bCs/>
      <w:sz w:val="20"/>
      <w:szCs w:val="20"/>
    </w:rPr>
  </w:style>
  <w:style w:type="paragraph" w:styleId="FootnoteText">
    <w:name w:val="footnote text"/>
    <w:basedOn w:val="Normal"/>
    <w:link w:val="FootnoteTextChar"/>
    <w:semiHidden/>
    <w:rsid w:val="00F973C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F973C8"/>
    <w:rPr>
      <w:rFonts w:ascii="Times New Roman" w:eastAsia="Times New Roman" w:hAnsi="Times New Roman" w:cs="Times New Roman"/>
      <w:sz w:val="20"/>
      <w:szCs w:val="20"/>
    </w:rPr>
  </w:style>
  <w:style w:type="character" w:styleId="FootnoteReference">
    <w:name w:val="footnote reference"/>
    <w:basedOn w:val="DefaultParagraphFont"/>
    <w:semiHidden/>
    <w:rsid w:val="00F973C8"/>
    <w:rPr>
      <w:vertAlign w:val="superscript"/>
    </w:rPr>
  </w:style>
  <w:style w:type="paragraph" w:customStyle="1" w:styleId="subhead">
    <w:name w:val="subhead"/>
    <w:basedOn w:val="Normal"/>
    <w:rsid w:val="00F973C8"/>
    <w:pPr>
      <w:spacing w:before="100" w:beforeAutospacing="1" w:after="100" w:afterAutospacing="1" w:line="240" w:lineRule="auto"/>
    </w:pPr>
    <w:rPr>
      <w:rFonts w:ascii="Times New Roman" w:eastAsia="Times New Roman" w:hAnsi="Times New Roman" w:cs="Times New Roman"/>
      <w:sz w:val="24"/>
      <w:szCs w:val="24"/>
    </w:rPr>
  </w:style>
  <w:style w:type="character" w:styleId="LineNumber">
    <w:name w:val="line number"/>
    <w:basedOn w:val="DefaultParagraphFont"/>
    <w:rsid w:val="00F973C8"/>
  </w:style>
  <w:style w:type="paragraph" w:styleId="Revision">
    <w:name w:val="Revision"/>
    <w:hidden/>
    <w:uiPriority w:val="99"/>
    <w:semiHidden/>
    <w:rsid w:val="0053408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9568838">
      <w:bodyDiv w:val="1"/>
      <w:marLeft w:val="0"/>
      <w:marRight w:val="0"/>
      <w:marTop w:val="0"/>
      <w:marBottom w:val="0"/>
      <w:divBdr>
        <w:top w:val="none" w:sz="0" w:space="0" w:color="auto"/>
        <w:left w:val="none" w:sz="0" w:space="0" w:color="auto"/>
        <w:bottom w:val="none" w:sz="0" w:space="0" w:color="auto"/>
        <w:right w:val="none" w:sz="0" w:space="0" w:color="auto"/>
      </w:divBdr>
      <w:divsChild>
        <w:div w:id="1164467351">
          <w:marLeft w:val="0"/>
          <w:marRight w:val="0"/>
          <w:marTop w:val="0"/>
          <w:marBottom w:val="0"/>
          <w:divBdr>
            <w:top w:val="none" w:sz="0" w:space="0" w:color="auto"/>
            <w:left w:val="none" w:sz="0" w:space="0" w:color="auto"/>
            <w:bottom w:val="none" w:sz="0" w:space="0" w:color="auto"/>
            <w:right w:val="none" w:sz="0" w:space="0" w:color="auto"/>
          </w:divBdr>
          <w:divsChild>
            <w:div w:id="176234170">
              <w:marLeft w:val="0"/>
              <w:marRight w:val="0"/>
              <w:marTop w:val="0"/>
              <w:marBottom w:val="0"/>
              <w:divBdr>
                <w:top w:val="none" w:sz="0" w:space="0" w:color="auto"/>
                <w:left w:val="none" w:sz="0" w:space="0" w:color="auto"/>
                <w:bottom w:val="none" w:sz="0" w:space="0" w:color="auto"/>
                <w:right w:val="none" w:sz="0" w:space="0" w:color="auto"/>
              </w:divBdr>
              <w:divsChild>
                <w:div w:id="2133546530">
                  <w:marLeft w:val="0"/>
                  <w:marRight w:val="0"/>
                  <w:marTop w:val="0"/>
                  <w:marBottom w:val="15"/>
                  <w:divBdr>
                    <w:top w:val="none" w:sz="0" w:space="0" w:color="auto"/>
                    <w:left w:val="none" w:sz="0" w:space="0" w:color="auto"/>
                    <w:bottom w:val="none" w:sz="0" w:space="0" w:color="auto"/>
                    <w:right w:val="none" w:sz="0" w:space="0" w:color="auto"/>
                  </w:divBdr>
                  <w:divsChild>
                    <w:div w:id="1768427297">
                      <w:marLeft w:val="150"/>
                      <w:marRight w:val="0"/>
                      <w:marTop w:val="0"/>
                      <w:marBottom w:val="0"/>
                      <w:divBdr>
                        <w:top w:val="none" w:sz="0" w:space="0" w:color="auto"/>
                        <w:left w:val="none" w:sz="0" w:space="0" w:color="auto"/>
                        <w:bottom w:val="none" w:sz="0" w:space="0" w:color="auto"/>
                        <w:right w:val="none" w:sz="0" w:space="0" w:color="auto"/>
                      </w:divBdr>
                      <w:divsChild>
                        <w:div w:id="1982690682">
                          <w:marLeft w:val="0"/>
                          <w:marRight w:val="0"/>
                          <w:marTop w:val="0"/>
                          <w:marBottom w:val="0"/>
                          <w:divBdr>
                            <w:top w:val="none" w:sz="0" w:space="0" w:color="auto"/>
                            <w:left w:val="none" w:sz="0" w:space="0" w:color="auto"/>
                            <w:bottom w:val="none" w:sz="0" w:space="0" w:color="auto"/>
                            <w:right w:val="none" w:sz="0" w:space="0" w:color="auto"/>
                          </w:divBdr>
                          <w:divsChild>
                            <w:div w:id="1166749192">
                              <w:marLeft w:val="0"/>
                              <w:marRight w:val="0"/>
                              <w:marTop w:val="0"/>
                              <w:marBottom w:val="0"/>
                              <w:divBdr>
                                <w:top w:val="none" w:sz="0" w:space="0" w:color="auto"/>
                                <w:left w:val="none" w:sz="0" w:space="0" w:color="auto"/>
                                <w:bottom w:val="none" w:sz="0" w:space="0" w:color="auto"/>
                                <w:right w:val="none" w:sz="0" w:space="0" w:color="auto"/>
                              </w:divBdr>
                              <w:divsChild>
                                <w:div w:id="20598180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search@msvu.c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04C741A3C34884FB8A2B77DE19ADB6B" ma:contentTypeVersion="13" ma:contentTypeDescription="Create a new document." ma:contentTypeScope="" ma:versionID="ce0b957c9ebc99071507b0af08992107">
  <xsd:schema xmlns:xsd="http://www.w3.org/2001/XMLSchema" xmlns:xs="http://www.w3.org/2001/XMLSchema" xmlns:p="http://schemas.microsoft.com/office/2006/metadata/properties" xmlns:ns3="4830ea6b-39db-40e8-94a4-4d7183afcea8" xmlns:ns4="3a707f03-e06c-4c61-a929-6f249483c146" targetNamespace="http://schemas.microsoft.com/office/2006/metadata/properties" ma:root="true" ma:fieldsID="bf88e9bcfebd2e601261c2da4f6f2e0d" ns3:_="" ns4:_="">
    <xsd:import namespace="4830ea6b-39db-40e8-94a4-4d7183afcea8"/>
    <xsd:import namespace="3a707f03-e06c-4c61-a929-6f249483c14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AutoKeyPoints" minOccurs="0"/>
                <xsd:element ref="ns4:MediaServiceKeyPoints"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30ea6b-39db-40e8-94a4-4d7183afce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707f03-e06c-4c61-a929-6f249483c14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00DA92-CEAE-48D6-8D30-C1BBE87E9CE5}">
  <ds:schemaRefs>
    <ds:schemaRef ds:uri="http://schemas.microsoft.com/sharepoint/v3/contenttype/forms"/>
  </ds:schemaRefs>
</ds:datastoreItem>
</file>

<file path=customXml/itemProps2.xml><?xml version="1.0" encoding="utf-8"?>
<ds:datastoreItem xmlns:ds="http://schemas.openxmlformats.org/officeDocument/2006/customXml" ds:itemID="{CDB1D0F2-0524-4681-B6C3-27106009EB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30ea6b-39db-40e8-94a4-4d7183afcea8"/>
    <ds:schemaRef ds:uri="3a707f03-e06c-4c61-a929-6f249483c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398191-F79E-40FA-AA8B-B5C2E1AD817E}">
  <ds:schemaRefs>
    <ds:schemaRef ds:uri="4830ea6b-39db-40e8-94a4-4d7183afcea8"/>
    <ds:schemaRef ds:uri="http://schemas.microsoft.com/office/infopath/2007/PartnerControls"/>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 ds:uri="3a707f03-e06c-4c61-a929-6f249483c146"/>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8642B4B8-2673-4457-B79D-F4AE0BCF7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MSVU</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End User</dc:creator>
  <cp:lastModifiedBy>Veronica Bacher</cp:lastModifiedBy>
  <cp:revision>2</cp:revision>
  <dcterms:created xsi:type="dcterms:W3CDTF">2021-07-13T14:26:00Z</dcterms:created>
  <dcterms:modified xsi:type="dcterms:W3CDTF">2021-07-13T14:26:00Z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0x010100D04C741A3C34884FB8A2B77DE19ADB6B</vt:lpwstr>
  </property>
</Properties>
</file>