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37"/>
      </w:tblGrid>
      <w:tr w:rsidR="001C1FE3" w:rsidRPr="0008072C" w14:paraId="3C313DE5" w14:textId="77777777" w:rsidTr="00003FEE">
        <w:tc>
          <w:tcPr>
            <w:tcW w:w="4788" w:type="dxa"/>
          </w:tcPr>
          <w:p w14:paraId="22AC0714" w14:textId="77777777" w:rsidR="001C1FE3" w:rsidRPr="0008072C" w:rsidRDefault="008E0A60" w:rsidP="00003FEE">
            <w:pPr>
              <w:rPr>
                <w:rFonts w:asciiTheme="majorHAnsi" w:hAnsiTheme="majorHAnsi"/>
              </w:rPr>
            </w:pPr>
            <w:r>
              <w:rPr>
                <w:rFonts w:asciiTheme="majorHAnsi" w:hAnsiTheme="majorHAnsi"/>
                <w:noProof/>
              </w:rPr>
              <w:drawing>
                <wp:inline distT="0" distB="0" distL="0" distR="0" wp14:anchorId="6BCA92C9" wp14:editId="556E1690">
                  <wp:extent cx="2286000" cy="7356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VU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735676"/>
                          </a:xfrm>
                          <a:prstGeom prst="rect">
                            <a:avLst/>
                          </a:prstGeom>
                        </pic:spPr>
                      </pic:pic>
                    </a:graphicData>
                  </a:graphic>
                </wp:inline>
              </w:drawing>
            </w:r>
          </w:p>
        </w:tc>
        <w:tc>
          <w:tcPr>
            <w:tcW w:w="4788" w:type="dxa"/>
          </w:tcPr>
          <w:p w14:paraId="3C985CE9" w14:textId="77777777" w:rsidR="001C1FE3" w:rsidRPr="0008072C" w:rsidRDefault="00E517C0" w:rsidP="00003FEE">
            <w:pPr>
              <w:jc w:val="right"/>
              <w:rPr>
                <w:rFonts w:asciiTheme="majorHAnsi" w:hAnsiTheme="majorHAnsi"/>
                <w:b/>
                <w:sz w:val="44"/>
                <w:szCs w:val="44"/>
              </w:rPr>
            </w:pPr>
            <w:r w:rsidRPr="009239A8">
              <w:rPr>
                <w:rFonts w:asciiTheme="majorHAnsi" w:hAnsiTheme="majorHAnsi"/>
                <w:b/>
                <w:sz w:val="40"/>
                <w:szCs w:val="44"/>
              </w:rPr>
              <w:t>Committee on Research and Publications</w:t>
            </w:r>
          </w:p>
        </w:tc>
      </w:tr>
    </w:tbl>
    <w:p w14:paraId="48205F92" w14:textId="77777777" w:rsidR="001C1FE3" w:rsidRPr="0008072C" w:rsidRDefault="001C1FE3" w:rsidP="0008072C">
      <w:pPr>
        <w:spacing w:after="0" w:line="240" w:lineRule="auto"/>
        <w:jc w:val="center"/>
        <w:rPr>
          <w:rFonts w:asciiTheme="majorHAnsi" w:hAnsiTheme="majorHAnsi"/>
          <w:b/>
          <w:sz w:val="24"/>
          <w:szCs w:val="24"/>
        </w:rPr>
      </w:pPr>
    </w:p>
    <w:p w14:paraId="1CFF34AA" w14:textId="77777777" w:rsidR="00D87AF8" w:rsidRDefault="00D87AF8" w:rsidP="00745E48">
      <w:pPr>
        <w:spacing w:after="0" w:line="240" w:lineRule="auto"/>
        <w:jc w:val="center"/>
        <w:rPr>
          <w:rFonts w:asciiTheme="majorHAnsi" w:hAnsiTheme="majorHAnsi"/>
          <w:b/>
          <w:sz w:val="28"/>
          <w:szCs w:val="24"/>
        </w:rPr>
      </w:pPr>
      <w:r w:rsidRPr="0008072C">
        <w:rPr>
          <w:rFonts w:asciiTheme="majorHAnsi" w:hAnsiTheme="majorHAnsi"/>
          <w:b/>
          <w:sz w:val="28"/>
          <w:szCs w:val="24"/>
        </w:rPr>
        <w:t>CRP Standard Operating Guidelines and Procedures</w:t>
      </w:r>
    </w:p>
    <w:p w14:paraId="05942252" w14:textId="77777777" w:rsidR="00745E48" w:rsidRPr="0008072C" w:rsidRDefault="00745E48" w:rsidP="0008072C">
      <w:pPr>
        <w:spacing w:after="0" w:line="240" w:lineRule="auto"/>
        <w:rPr>
          <w:rFonts w:asciiTheme="majorHAnsi" w:hAnsiTheme="majorHAnsi"/>
          <w:b/>
          <w:sz w:val="24"/>
          <w:szCs w:val="24"/>
        </w:rPr>
      </w:pPr>
    </w:p>
    <w:tbl>
      <w:tblPr>
        <w:tblStyle w:val="TableGrid"/>
        <w:tblW w:w="9350" w:type="dxa"/>
        <w:tblLook w:val="04A0" w:firstRow="1" w:lastRow="0" w:firstColumn="1" w:lastColumn="0" w:noHBand="0" w:noVBand="1"/>
      </w:tblPr>
      <w:tblGrid>
        <w:gridCol w:w="2325"/>
        <w:gridCol w:w="7025"/>
      </w:tblGrid>
      <w:tr w:rsidR="00152705" w:rsidRPr="0008072C" w14:paraId="13F3E001" w14:textId="77777777" w:rsidTr="00152705">
        <w:tc>
          <w:tcPr>
            <w:tcW w:w="2325" w:type="dxa"/>
          </w:tcPr>
          <w:p w14:paraId="1EF55EFC"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DOC #</w:t>
            </w:r>
          </w:p>
        </w:tc>
        <w:tc>
          <w:tcPr>
            <w:tcW w:w="7025" w:type="dxa"/>
          </w:tcPr>
          <w:p w14:paraId="4649B00E"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CRP.SOP.003</w:t>
            </w:r>
          </w:p>
        </w:tc>
      </w:tr>
      <w:tr w:rsidR="00152705" w:rsidRPr="0008072C" w14:paraId="67F09A52" w14:textId="77777777" w:rsidTr="00152705">
        <w:tc>
          <w:tcPr>
            <w:tcW w:w="2325" w:type="dxa"/>
          </w:tcPr>
          <w:p w14:paraId="0DE554D1"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Title</w:t>
            </w:r>
          </w:p>
        </w:tc>
        <w:tc>
          <w:tcPr>
            <w:tcW w:w="7025" w:type="dxa"/>
          </w:tcPr>
          <w:p w14:paraId="31F39039" w14:textId="77777777" w:rsidR="00152705" w:rsidRPr="0008072C" w:rsidRDefault="00152705" w:rsidP="00152705">
            <w:pPr>
              <w:rPr>
                <w:rFonts w:asciiTheme="majorHAnsi" w:hAnsiTheme="majorHAnsi" w:cs="Arial"/>
                <w:b/>
                <w:sz w:val="24"/>
                <w:szCs w:val="24"/>
              </w:rPr>
            </w:pPr>
            <w:r w:rsidRPr="0008072C">
              <w:rPr>
                <w:rFonts w:asciiTheme="majorHAnsi" w:hAnsiTheme="majorHAnsi"/>
                <w:b/>
                <w:sz w:val="24"/>
                <w:szCs w:val="24"/>
              </w:rPr>
              <w:t xml:space="preserve">Purpose </w:t>
            </w:r>
            <w:r>
              <w:rPr>
                <w:rFonts w:asciiTheme="majorHAnsi" w:hAnsiTheme="majorHAnsi"/>
                <w:b/>
                <w:sz w:val="24"/>
                <w:szCs w:val="24"/>
              </w:rPr>
              <w:t xml:space="preserve">and Envelopes of Funding </w:t>
            </w:r>
          </w:p>
        </w:tc>
      </w:tr>
      <w:tr w:rsidR="00152705" w:rsidRPr="0008072C" w14:paraId="47FC7B5E" w14:textId="77777777" w:rsidTr="00152705">
        <w:tc>
          <w:tcPr>
            <w:tcW w:w="2325" w:type="dxa"/>
          </w:tcPr>
          <w:p w14:paraId="145D1DCC"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Document Type</w:t>
            </w:r>
          </w:p>
        </w:tc>
        <w:tc>
          <w:tcPr>
            <w:tcW w:w="7025" w:type="dxa"/>
          </w:tcPr>
          <w:p w14:paraId="534CE510" w14:textId="77777777" w:rsidR="00152705" w:rsidRPr="0008072C" w:rsidRDefault="00152705" w:rsidP="00152705">
            <w:pPr>
              <w:rPr>
                <w:rFonts w:asciiTheme="majorHAnsi" w:hAnsiTheme="majorHAnsi"/>
                <w:sz w:val="24"/>
                <w:szCs w:val="24"/>
              </w:rPr>
            </w:pPr>
            <w:r w:rsidRPr="0008072C">
              <w:rPr>
                <w:rFonts w:asciiTheme="majorHAnsi" w:hAnsiTheme="majorHAnsi"/>
                <w:sz w:val="24"/>
                <w:szCs w:val="24"/>
              </w:rPr>
              <w:t>Information</w:t>
            </w:r>
          </w:p>
        </w:tc>
      </w:tr>
      <w:tr w:rsidR="00152705" w:rsidRPr="0008072C" w14:paraId="7B63B3DB" w14:textId="77777777" w:rsidTr="00152705">
        <w:tc>
          <w:tcPr>
            <w:tcW w:w="2325" w:type="dxa"/>
          </w:tcPr>
          <w:p w14:paraId="3C1595D9"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Effective Date</w:t>
            </w:r>
          </w:p>
        </w:tc>
        <w:tc>
          <w:tcPr>
            <w:tcW w:w="7025" w:type="dxa"/>
          </w:tcPr>
          <w:p w14:paraId="2322715D" w14:textId="5CA2C704" w:rsidR="00152705" w:rsidRPr="0008072C" w:rsidRDefault="00296F48" w:rsidP="00152705">
            <w:pPr>
              <w:rPr>
                <w:rFonts w:asciiTheme="majorHAnsi" w:hAnsiTheme="majorHAnsi" w:cs="Arial"/>
                <w:sz w:val="24"/>
                <w:szCs w:val="24"/>
              </w:rPr>
            </w:pPr>
            <w:r>
              <w:rPr>
                <w:rFonts w:asciiTheme="majorHAnsi" w:hAnsiTheme="majorHAnsi" w:cs="Arial"/>
                <w:sz w:val="24"/>
                <w:szCs w:val="24"/>
              </w:rPr>
              <w:t>June</w:t>
            </w:r>
            <w:bookmarkStart w:id="0" w:name="_GoBack"/>
            <w:bookmarkEnd w:id="0"/>
            <w:r w:rsidR="00166546">
              <w:rPr>
                <w:rFonts w:asciiTheme="majorHAnsi" w:hAnsiTheme="majorHAnsi" w:cs="Arial"/>
                <w:sz w:val="24"/>
                <w:szCs w:val="24"/>
              </w:rPr>
              <w:t xml:space="preserve"> 20</w:t>
            </w:r>
            <w:r w:rsidR="00BD35B3">
              <w:rPr>
                <w:rFonts w:asciiTheme="majorHAnsi" w:hAnsiTheme="majorHAnsi" w:cs="Arial"/>
                <w:sz w:val="24"/>
                <w:szCs w:val="24"/>
              </w:rPr>
              <w:t>21</w:t>
            </w:r>
          </w:p>
        </w:tc>
      </w:tr>
      <w:tr w:rsidR="00152705" w:rsidRPr="0008072C" w14:paraId="2A61CE62" w14:textId="77777777" w:rsidTr="00152705">
        <w:tc>
          <w:tcPr>
            <w:tcW w:w="2325" w:type="dxa"/>
          </w:tcPr>
          <w:p w14:paraId="3AF7C5CE"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Version</w:t>
            </w:r>
          </w:p>
        </w:tc>
        <w:tc>
          <w:tcPr>
            <w:tcW w:w="7025" w:type="dxa"/>
          </w:tcPr>
          <w:p w14:paraId="4E6C4361" w14:textId="0E6AC7E5" w:rsidR="00152705" w:rsidRPr="0008072C" w:rsidRDefault="00166546" w:rsidP="00152705">
            <w:pPr>
              <w:rPr>
                <w:rFonts w:asciiTheme="majorHAnsi" w:hAnsiTheme="majorHAnsi" w:cs="Arial"/>
                <w:sz w:val="24"/>
                <w:szCs w:val="24"/>
              </w:rPr>
            </w:pPr>
            <w:r>
              <w:rPr>
                <w:rFonts w:asciiTheme="majorHAnsi" w:hAnsiTheme="majorHAnsi" w:cs="Arial"/>
                <w:sz w:val="24"/>
                <w:szCs w:val="24"/>
              </w:rPr>
              <w:t>6</w:t>
            </w:r>
            <w:r w:rsidR="00152705">
              <w:rPr>
                <w:rFonts w:asciiTheme="majorHAnsi" w:hAnsiTheme="majorHAnsi" w:cs="Arial"/>
                <w:sz w:val="24"/>
                <w:szCs w:val="24"/>
              </w:rPr>
              <w:t>.0</w:t>
            </w:r>
          </w:p>
        </w:tc>
      </w:tr>
      <w:tr w:rsidR="00152705" w:rsidRPr="0008072C" w14:paraId="4FBA64F1" w14:textId="77777777" w:rsidTr="00152705">
        <w:tc>
          <w:tcPr>
            <w:tcW w:w="2325" w:type="dxa"/>
          </w:tcPr>
          <w:p w14:paraId="05375FE5"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Prev. Version</w:t>
            </w:r>
          </w:p>
        </w:tc>
        <w:tc>
          <w:tcPr>
            <w:tcW w:w="7025" w:type="dxa"/>
          </w:tcPr>
          <w:p w14:paraId="386682F3" w14:textId="163DBD2A" w:rsidR="00152705" w:rsidRPr="0008072C" w:rsidRDefault="00166546">
            <w:pPr>
              <w:rPr>
                <w:rFonts w:asciiTheme="majorHAnsi" w:hAnsiTheme="majorHAnsi" w:cs="Arial"/>
                <w:sz w:val="24"/>
                <w:szCs w:val="24"/>
              </w:rPr>
            </w:pPr>
            <w:r>
              <w:rPr>
                <w:rFonts w:asciiTheme="majorHAnsi" w:hAnsiTheme="majorHAnsi" w:cs="Arial"/>
                <w:sz w:val="24"/>
                <w:szCs w:val="24"/>
              </w:rPr>
              <w:t>5</w:t>
            </w:r>
            <w:r w:rsidR="00152705">
              <w:rPr>
                <w:rFonts w:asciiTheme="majorHAnsi" w:hAnsiTheme="majorHAnsi" w:cs="Arial"/>
                <w:sz w:val="24"/>
                <w:szCs w:val="24"/>
              </w:rPr>
              <w:t>.</w:t>
            </w:r>
            <w:r w:rsidR="00152705" w:rsidRPr="0008072C">
              <w:rPr>
                <w:rFonts w:asciiTheme="majorHAnsi" w:hAnsiTheme="majorHAnsi" w:cs="Arial"/>
                <w:sz w:val="24"/>
                <w:szCs w:val="24"/>
              </w:rPr>
              <w:t xml:space="preserve">0 </w:t>
            </w:r>
            <w:r>
              <w:rPr>
                <w:rFonts w:asciiTheme="majorHAnsi" w:hAnsiTheme="majorHAnsi" w:cs="Arial"/>
                <w:sz w:val="24"/>
                <w:szCs w:val="24"/>
              </w:rPr>
              <w:t>June 2017</w:t>
            </w:r>
          </w:p>
        </w:tc>
      </w:tr>
      <w:tr w:rsidR="00152705" w:rsidRPr="0008072C" w14:paraId="1DE9DE0F" w14:textId="77777777" w:rsidTr="00152705">
        <w:tc>
          <w:tcPr>
            <w:tcW w:w="2325" w:type="dxa"/>
          </w:tcPr>
          <w:p w14:paraId="3CBF4206" w14:textId="77777777" w:rsidR="00152705" w:rsidRPr="0008072C" w:rsidRDefault="00152705" w:rsidP="00152705">
            <w:pPr>
              <w:rPr>
                <w:rFonts w:asciiTheme="majorHAnsi" w:hAnsiTheme="majorHAnsi" w:cs="Arial"/>
                <w:sz w:val="24"/>
                <w:szCs w:val="24"/>
              </w:rPr>
            </w:pPr>
            <w:r w:rsidRPr="0008072C">
              <w:rPr>
                <w:rFonts w:asciiTheme="majorHAnsi" w:hAnsiTheme="majorHAnsi" w:cs="Arial"/>
                <w:sz w:val="24"/>
                <w:szCs w:val="24"/>
              </w:rPr>
              <w:t>Next Review</w:t>
            </w:r>
          </w:p>
        </w:tc>
        <w:tc>
          <w:tcPr>
            <w:tcW w:w="7025" w:type="dxa"/>
          </w:tcPr>
          <w:p w14:paraId="1054BD2B" w14:textId="6BB9BA65" w:rsidR="00152705" w:rsidRPr="0008072C" w:rsidRDefault="00152705" w:rsidP="00152705">
            <w:pPr>
              <w:rPr>
                <w:rFonts w:asciiTheme="majorHAnsi" w:hAnsiTheme="majorHAnsi" w:cs="Arial"/>
                <w:sz w:val="24"/>
                <w:szCs w:val="24"/>
              </w:rPr>
            </w:pPr>
            <w:r>
              <w:rPr>
                <w:rFonts w:asciiTheme="majorHAnsi" w:hAnsiTheme="majorHAnsi" w:cs="Arial"/>
                <w:sz w:val="24"/>
                <w:szCs w:val="24"/>
              </w:rPr>
              <w:t>202</w:t>
            </w:r>
            <w:r w:rsidR="00BD35B3">
              <w:rPr>
                <w:rFonts w:asciiTheme="majorHAnsi" w:hAnsiTheme="majorHAnsi" w:cs="Arial"/>
                <w:sz w:val="24"/>
                <w:szCs w:val="24"/>
              </w:rPr>
              <w:t>4</w:t>
            </w:r>
          </w:p>
        </w:tc>
      </w:tr>
    </w:tbl>
    <w:p w14:paraId="2FF8AB35" w14:textId="77777777" w:rsidR="00745E48" w:rsidRDefault="00745E48" w:rsidP="004301DD">
      <w:pPr>
        <w:spacing w:after="0"/>
        <w:rPr>
          <w:rFonts w:asciiTheme="majorHAnsi" w:hAnsiTheme="majorHAnsi"/>
          <w:color w:val="000000"/>
          <w:sz w:val="24"/>
          <w:szCs w:val="24"/>
        </w:rPr>
      </w:pPr>
    </w:p>
    <w:p w14:paraId="647EA171" w14:textId="508A2899" w:rsidR="00902F19" w:rsidRDefault="00902F19" w:rsidP="00B25B1E">
      <w:pPr>
        <w:spacing w:after="0" w:line="240" w:lineRule="auto"/>
        <w:rPr>
          <w:rFonts w:asciiTheme="majorHAnsi" w:hAnsiTheme="majorHAnsi"/>
          <w:color w:val="000000"/>
          <w:sz w:val="24"/>
          <w:szCs w:val="24"/>
        </w:rPr>
      </w:pPr>
      <w:r>
        <w:rPr>
          <w:rFonts w:asciiTheme="majorHAnsi" w:hAnsiTheme="majorHAnsi"/>
          <w:color w:val="000000"/>
          <w:sz w:val="24"/>
          <w:szCs w:val="24"/>
        </w:rPr>
        <w:t>Internal grants are divided into three streams: Research Grants, Research Dissemination and Special Calls, and Other Awards.  MSVU faculty members are eligible to hold one grant or award from the first two streams (Research Grants and Research Dissemination and Special Calls) at a time.</w:t>
      </w:r>
      <w:r w:rsidRPr="00902F19">
        <w:rPr>
          <w:rFonts w:asciiTheme="majorHAnsi" w:hAnsiTheme="majorHAnsi"/>
          <w:color w:val="000000"/>
          <w:sz w:val="24"/>
          <w:szCs w:val="24"/>
        </w:rPr>
        <w:t xml:space="preserve"> </w:t>
      </w:r>
      <w:r>
        <w:rPr>
          <w:rFonts w:asciiTheme="majorHAnsi" w:hAnsiTheme="majorHAnsi"/>
          <w:color w:val="000000"/>
          <w:sz w:val="24"/>
          <w:szCs w:val="24"/>
        </w:rPr>
        <w:t>A graphic representation is below:</w:t>
      </w:r>
    </w:p>
    <w:p w14:paraId="5F446706" w14:textId="5A52E73C" w:rsidR="00902F19" w:rsidRDefault="00902F19" w:rsidP="00B25B1E">
      <w:pPr>
        <w:spacing w:after="0" w:line="240" w:lineRule="auto"/>
        <w:rPr>
          <w:rFonts w:asciiTheme="majorHAnsi" w:hAnsiTheme="majorHAnsi"/>
          <w:color w:val="000000"/>
          <w:sz w:val="24"/>
          <w:szCs w:val="24"/>
        </w:rPr>
      </w:pPr>
      <w:r>
        <w:rPr>
          <w:rFonts w:asciiTheme="majorHAnsi" w:hAnsiTheme="majorHAnsi"/>
          <w:noProof/>
          <w:color w:val="000000"/>
          <w:sz w:val="24"/>
          <w:szCs w:val="24"/>
        </w:rPr>
        <w:drawing>
          <wp:anchor distT="0" distB="0" distL="114300" distR="114300" simplePos="0" relativeHeight="251660288" behindDoc="0" locked="0" layoutInCell="1" allowOverlap="1" wp14:anchorId="1D56CC0C" wp14:editId="397DCE1A">
            <wp:simplePos x="0" y="0"/>
            <wp:positionH relativeFrom="margin">
              <wp:align>left</wp:align>
            </wp:positionH>
            <wp:positionV relativeFrom="paragraph">
              <wp:posOffset>82550</wp:posOffset>
            </wp:positionV>
            <wp:extent cx="5724525" cy="3914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 Grants multiple eligibili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4525" cy="3914775"/>
                    </a:xfrm>
                    <a:prstGeom prst="rect">
                      <a:avLst/>
                    </a:prstGeom>
                  </pic:spPr>
                </pic:pic>
              </a:graphicData>
            </a:graphic>
            <wp14:sizeRelH relativeFrom="margin">
              <wp14:pctWidth>0</wp14:pctWidth>
            </wp14:sizeRelH>
            <wp14:sizeRelV relativeFrom="margin">
              <wp14:pctHeight>0</wp14:pctHeight>
            </wp14:sizeRelV>
          </wp:anchor>
        </w:drawing>
      </w:r>
    </w:p>
    <w:p w14:paraId="37291F85" w14:textId="094C973E" w:rsidR="00902F19" w:rsidRDefault="00902F19" w:rsidP="00B25B1E">
      <w:pPr>
        <w:spacing w:after="0" w:line="240" w:lineRule="auto"/>
        <w:rPr>
          <w:rFonts w:asciiTheme="majorHAnsi" w:hAnsiTheme="majorHAnsi"/>
          <w:color w:val="000000"/>
          <w:sz w:val="24"/>
          <w:szCs w:val="24"/>
        </w:rPr>
      </w:pPr>
    </w:p>
    <w:p w14:paraId="0FFDDB8D" w14:textId="67B9D62A" w:rsidR="00902F19" w:rsidRDefault="00902F19" w:rsidP="00B25B1E">
      <w:pPr>
        <w:spacing w:after="0" w:line="240" w:lineRule="auto"/>
        <w:rPr>
          <w:rFonts w:asciiTheme="majorHAnsi" w:hAnsiTheme="majorHAnsi"/>
          <w:color w:val="000000"/>
          <w:sz w:val="24"/>
          <w:szCs w:val="24"/>
        </w:rPr>
      </w:pPr>
    </w:p>
    <w:p w14:paraId="5F59E711" w14:textId="170260E7" w:rsidR="00902F19" w:rsidRDefault="00902F19" w:rsidP="00B25B1E">
      <w:pPr>
        <w:spacing w:after="0" w:line="240" w:lineRule="auto"/>
        <w:rPr>
          <w:rFonts w:asciiTheme="majorHAnsi" w:hAnsiTheme="majorHAnsi"/>
          <w:color w:val="000000"/>
          <w:sz w:val="24"/>
          <w:szCs w:val="24"/>
        </w:rPr>
      </w:pPr>
    </w:p>
    <w:p w14:paraId="514C3CB5" w14:textId="74C1CDD5" w:rsidR="00902F19" w:rsidRDefault="00902F19" w:rsidP="00B25B1E">
      <w:pPr>
        <w:spacing w:after="0" w:line="240" w:lineRule="auto"/>
        <w:rPr>
          <w:rFonts w:asciiTheme="majorHAnsi" w:hAnsiTheme="majorHAnsi"/>
          <w:color w:val="000000"/>
          <w:sz w:val="24"/>
          <w:szCs w:val="24"/>
        </w:rPr>
      </w:pPr>
    </w:p>
    <w:p w14:paraId="4A025BAA" w14:textId="57836930" w:rsidR="00902F19" w:rsidRDefault="00902F19" w:rsidP="00B25B1E">
      <w:pPr>
        <w:spacing w:after="0" w:line="240" w:lineRule="auto"/>
        <w:rPr>
          <w:rFonts w:asciiTheme="majorHAnsi" w:hAnsiTheme="majorHAnsi"/>
          <w:color w:val="000000"/>
          <w:sz w:val="24"/>
          <w:szCs w:val="24"/>
        </w:rPr>
      </w:pPr>
    </w:p>
    <w:p w14:paraId="67674DDF" w14:textId="01235263" w:rsidR="00902F19" w:rsidRDefault="00902F19" w:rsidP="00B25B1E">
      <w:pPr>
        <w:spacing w:after="0" w:line="240" w:lineRule="auto"/>
        <w:rPr>
          <w:rFonts w:asciiTheme="majorHAnsi" w:hAnsiTheme="majorHAnsi"/>
          <w:color w:val="000000"/>
          <w:sz w:val="24"/>
          <w:szCs w:val="24"/>
        </w:rPr>
      </w:pPr>
    </w:p>
    <w:p w14:paraId="431C426F" w14:textId="2E2D6515" w:rsidR="00902F19" w:rsidRDefault="00902F19" w:rsidP="00B25B1E">
      <w:pPr>
        <w:spacing w:after="0" w:line="240" w:lineRule="auto"/>
        <w:rPr>
          <w:rFonts w:asciiTheme="majorHAnsi" w:hAnsiTheme="majorHAnsi"/>
          <w:color w:val="000000"/>
          <w:sz w:val="24"/>
          <w:szCs w:val="24"/>
        </w:rPr>
      </w:pPr>
    </w:p>
    <w:p w14:paraId="1E8BA3E2" w14:textId="6E1AD2FD" w:rsidR="00902F19" w:rsidRDefault="00902F19" w:rsidP="00B25B1E">
      <w:pPr>
        <w:spacing w:after="0" w:line="240" w:lineRule="auto"/>
        <w:rPr>
          <w:rFonts w:asciiTheme="majorHAnsi" w:hAnsiTheme="majorHAnsi"/>
          <w:color w:val="000000"/>
          <w:sz w:val="24"/>
          <w:szCs w:val="24"/>
        </w:rPr>
      </w:pPr>
    </w:p>
    <w:p w14:paraId="161D3577" w14:textId="7998CBF3" w:rsidR="00902F19" w:rsidRDefault="00902F19" w:rsidP="00B25B1E">
      <w:pPr>
        <w:spacing w:after="0" w:line="240" w:lineRule="auto"/>
        <w:rPr>
          <w:rFonts w:asciiTheme="majorHAnsi" w:hAnsiTheme="majorHAnsi"/>
          <w:color w:val="000000"/>
          <w:sz w:val="24"/>
          <w:szCs w:val="24"/>
        </w:rPr>
      </w:pPr>
    </w:p>
    <w:p w14:paraId="75D5328B" w14:textId="0F00F5B6" w:rsidR="00902F19" w:rsidRDefault="00902F19" w:rsidP="00B25B1E">
      <w:pPr>
        <w:spacing w:after="0" w:line="240" w:lineRule="auto"/>
        <w:rPr>
          <w:rFonts w:asciiTheme="majorHAnsi" w:hAnsiTheme="majorHAnsi"/>
          <w:color w:val="000000"/>
          <w:sz w:val="24"/>
          <w:szCs w:val="24"/>
        </w:rPr>
      </w:pPr>
    </w:p>
    <w:p w14:paraId="32DEFA4B" w14:textId="2F34EB69" w:rsidR="00902F19" w:rsidRDefault="00902F19" w:rsidP="00B25B1E">
      <w:pPr>
        <w:spacing w:after="0" w:line="240" w:lineRule="auto"/>
        <w:rPr>
          <w:rFonts w:asciiTheme="majorHAnsi" w:hAnsiTheme="majorHAnsi"/>
          <w:color w:val="000000"/>
          <w:sz w:val="24"/>
          <w:szCs w:val="24"/>
        </w:rPr>
      </w:pPr>
    </w:p>
    <w:p w14:paraId="1C37DEA8" w14:textId="26659FC2" w:rsidR="00902F19" w:rsidRDefault="00902F19" w:rsidP="00B25B1E">
      <w:pPr>
        <w:spacing w:after="0" w:line="240" w:lineRule="auto"/>
        <w:rPr>
          <w:rFonts w:asciiTheme="majorHAnsi" w:hAnsiTheme="majorHAnsi"/>
          <w:color w:val="000000"/>
          <w:sz w:val="24"/>
          <w:szCs w:val="24"/>
        </w:rPr>
      </w:pPr>
    </w:p>
    <w:p w14:paraId="23AEAF51" w14:textId="7F888818" w:rsidR="00902F19" w:rsidRDefault="00902F19" w:rsidP="00B25B1E">
      <w:pPr>
        <w:spacing w:after="0" w:line="240" w:lineRule="auto"/>
        <w:rPr>
          <w:rFonts w:asciiTheme="majorHAnsi" w:hAnsiTheme="majorHAnsi"/>
          <w:color w:val="000000"/>
          <w:sz w:val="24"/>
          <w:szCs w:val="24"/>
        </w:rPr>
      </w:pPr>
    </w:p>
    <w:p w14:paraId="33DA0079" w14:textId="4D50F042" w:rsidR="00902F19" w:rsidRDefault="00902F19" w:rsidP="00B25B1E">
      <w:pPr>
        <w:spacing w:after="0" w:line="240" w:lineRule="auto"/>
        <w:rPr>
          <w:rFonts w:asciiTheme="majorHAnsi" w:hAnsiTheme="majorHAnsi"/>
          <w:color w:val="000000"/>
          <w:sz w:val="24"/>
          <w:szCs w:val="24"/>
        </w:rPr>
      </w:pPr>
    </w:p>
    <w:p w14:paraId="351DE6B3" w14:textId="572828E2" w:rsidR="00902F19" w:rsidRDefault="00902F19" w:rsidP="00B25B1E">
      <w:pPr>
        <w:spacing w:after="0" w:line="240" w:lineRule="auto"/>
        <w:rPr>
          <w:rFonts w:asciiTheme="majorHAnsi" w:hAnsiTheme="majorHAnsi"/>
          <w:color w:val="000000"/>
          <w:sz w:val="24"/>
          <w:szCs w:val="24"/>
        </w:rPr>
      </w:pPr>
    </w:p>
    <w:p w14:paraId="3AB5475C" w14:textId="577F656B" w:rsidR="00902F19" w:rsidRDefault="00902F19" w:rsidP="00B25B1E">
      <w:pPr>
        <w:spacing w:after="0" w:line="240" w:lineRule="auto"/>
        <w:rPr>
          <w:rFonts w:asciiTheme="majorHAnsi" w:hAnsiTheme="majorHAnsi"/>
          <w:color w:val="000000"/>
          <w:sz w:val="24"/>
          <w:szCs w:val="24"/>
        </w:rPr>
      </w:pPr>
    </w:p>
    <w:p w14:paraId="4D62A146" w14:textId="5BD1C761" w:rsidR="00902F19" w:rsidRDefault="00902F19" w:rsidP="00B25B1E">
      <w:pPr>
        <w:spacing w:after="0" w:line="240" w:lineRule="auto"/>
        <w:rPr>
          <w:rFonts w:asciiTheme="majorHAnsi" w:hAnsiTheme="majorHAnsi"/>
          <w:color w:val="000000"/>
          <w:sz w:val="24"/>
          <w:szCs w:val="24"/>
        </w:rPr>
      </w:pPr>
    </w:p>
    <w:p w14:paraId="19DAC2FC" w14:textId="787702DA" w:rsidR="00902F19" w:rsidRDefault="00902F19" w:rsidP="00B25B1E">
      <w:pPr>
        <w:spacing w:after="0" w:line="240" w:lineRule="auto"/>
        <w:rPr>
          <w:rFonts w:asciiTheme="majorHAnsi" w:hAnsiTheme="majorHAnsi"/>
          <w:color w:val="000000"/>
          <w:sz w:val="24"/>
          <w:szCs w:val="24"/>
        </w:rPr>
      </w:pPr>
    </w:p>
    <w:p w14:paraId="08B56613" w14:textId="3219AA90" w:rsidR="00902F19" w:rsidRDefault="00902F19" w:rsidP="00B25B1E">
      <w:pPr>
        <w:spacing w:after="0" w:line="240" w:lineRule="auto"/>
        <w:rPr>
          <w:rFonts w:asciiTheme="majorHAnsi" w:hAnsiTheme="majorHAnsi"/>
          <w:color w:val="000000"/>
          <w:sz w:val="24"/>
          <w:szCs w:val="24"/>
        </w:rPr>
      </w:pPr>
    </w:p>
    <w:p w14:paraId="1DB130FA" w14:textId="31B0B86B" w:rsidR="00902F19" w:rsidRDefault="00902F19" w:rsidP="00B25B1E">
      <w:pPr>
        <w:spacing w:after="0" w:line="240" w:lineRule="auto"/>
        <w:rPr>
          <w:rFonts w:asciiTheme="majorHAnsi" w:hAnsiTheme="majorHAnsi"/>
          <w:color w:val="000000"/>
          <w:sz w:val="24"/>
          <w:szCs w:val="24"/>
        </w:rPr>
      </w:pPr>
    </w:p>
    <w:p w14:paraId="639FB34A" w14:textId="00AE1699" w:rsidR="00902F19" w:rsidRDefault="00902F19" w:rsidP="00B25B1E">
      <w:pPr>
        <w:spacing w:after="0" w:line="240" w:lineRule="auto"/>
        <w:rPr>
          <w:rFonts w:asciiTheme="majorHAnsi" w:hAnsiTheme="majorHAnsi"/>
          <w:color w:val="000000"/>
          <w:sz w:val="24"/>
          <w:szCs w:val="24"/>
        </w:rPr>
      </w:pPr>
    </w:p>
    <w:p w14:paraId="6B67B941" w14:textId="77777777" w:rsidR="00902F19" w:rsidRDefault="00902F19" w:rsidP="00B25B1E">
      <w:pPr>
        <w:spacing w:after="0" w:line="240" w:lineRule="auto"/>
        <w:rPr>
          <w:rFonts w:asciiTheme="majorHAnsi" w:hAnsiTheme="majorHAnsi"/>
          <w:color w:val="000000"/>
          <w:sz w:val="24"/>
          <w:szCs w:val="24"/>
        </w:rPr>
      </w:pPr>
    </w:p>
    <w:p w14:paraId="6FB95812" w14:textId="21C13355" w:rsidR="00902F19" w:rsidRDefault="00902F19" w:rsidP="00B25B1E">
      <w:pPr>
        <w:spacing w:after="0" w:line="240" w:lineRule="auto"/>
        <w:rPr>
          <w:rFonts w:asciiTheme="majorHAnsi" w:hAnsiTheme="majorHAnsi"/>
          <w:color w:val="000000"/>
          <w:sz w:val="24"/>
          <w:szCs w:val="24"/>
        </w:rPr>
      </w:pPr>
      <w:r>
        <w:rPr>
          <w:rFonts w:asciiTheme="majorHAnsi" w:hAnsiTheme="majorHAnsi"/>
          <w:color w:val="000000"/>
          <w:sz w:val="24"/>
          <w:szCs w:val="24"/>
        </w:rPr>
        <w:t>In the event that a faculty member applies for an additional grant from the same stream, the first grant must be closed before the second grant can be activated.</w:t>
      </w:r>
    </w:p>
    <w:p w14:paraId="4994D1C7" w14:textId="77777777" w:rsidR="00A2380D" w:rsidRDefault="00F17DA4" w:rsidP="00B25B1E">
      <w:pPr>
        <w:spacing w:after="0" w:line="240" w:lineRule="auto"/>
        <w:rPr>
          <w:rFonts w:asciiTheme="majorHAnsi" w:hAnsiTheme="majorHAnsi"/>
          <w:color w:val="000000"/>
          <w:sz w:val="24"/>
          <w:szCs w:val="24"/>
        </w:rPr>
      </w:pPr>
      <w:r w:rsidRPr="008E6828">
        <w:rPr>
          <w:rFonts w:asciiTheme="majorHAnsi" w:hAnsiTheme="majorHAnsi"/>
          <w:color w:val="000000"/>
          <w:sz w:val="24"/>
          <w:szCs w:val="24"/>
        </w:rPr>
        <w:t xml:space="preserve">With the exception of the New Scholars </w:t>
      </w:r>
      <w:r w:rsidR="00A26F2E" w:rsidRPr="008E6828">
        <w:rPr>
          <w:rFonts w:asciiTheme="majorHAnsi" w:hAnsiTheme="majorHAnsi"/>
          <w:color w:val="000000"/>
          <w:sz w:val="24"/>
          <w:szCs w:val="24"/>
        </w:rPr>
        <w:t>Grant,</w:t>
      </w:r>
      <w:r w:rsidRPr="008E6828">
        <w:rPr>
          <w:rFonts w:asciiTheme="majorHAnsi" w:hAnsiTheme="majorHAnsi"/>
          <w:color w:val="000000"/>
          <w:sz w:val="24"/>
          <w:szCs w:val="24"/>
        </w:rPr>
        <w:t xml:space="preserve"> i</w:t>
      </w:r>
      <w:r w:rsidR="003E5C7D" w:rsidRPr="008E6828">
        <w:rPr>
          <w:rFonts w:asciiTheme="majorHAnsi" w:hAnsiTheme="majorHAnsi"/>
          <w:color w:val="000000"/>
          <w:sz w:val="24"/>
          <w:szCs w:val="24"/>
        </w:rPr>
        <w:t>nternal grants are usually capped at budgets of $</w:t>
      </w:r>
      <w:r w:rsidR="00315819" w:rsidRPr="008E6828">
        <w:rPr>
          <w:rFonts w:asciiTheme="majorHAnsi" w:hAnsiTheme="majorHAnsi"/>
          <w:color w:val="000000"/>
          <w:sz w:val="24"/>
          <w:szCs w:val="24"/>
        </w:rPr>
        <w:t>5,000</w:t>
      </w:r>
      <w:r w:rsidR="00A2380D" w:rsidRPr="008E6828">
        <w:rPr>
          <w:rFonts w:asciiTheme="majorHAnsi" w:hAnsiTheme="majorHAnsi"/>
          <w:color w:val="000000"/>
          <w:sz w:val="24"/>
          <w:szCs w:val="24"/>
        </w:rPr>
        <w:t xml:space="preserve"> </w:t>
      </w:r>
      <w:r w:rsidR="003E5C7D" w:rsidRPr="008E6828">
        <w:rPr>
          <w:rFonts w:asciiTheme="majorHAnsi" w:hAnsiTheme="majorHAnsi"/>
          <w:color w:val="000000"/>
          <w:sz w:val="24"/>
          <w:szCs w:val="24"/>
        </w:rPr>
        <w:t>or less for two reasons</w:t>
      </w:r>
      <w:r w:rsidR="00A2380D" w:rsidRPr="008E6828">
        <w:rPr>
          <w:rFonts w:asciiTheme="majorHAnsi" w:hAnsiTheme="majorHAnsi"/>
          <w:color w:val="000000"/>
          <w:sz w:val="24"/>
          <w:szCs w:val="24"/>
        </w:rPr>
        <w:t>:</w:t>
      </w:r>
    </w:p>
    <w:p w14:paraId="6D40A917" w14:textId="77777777" w:rsidR="004301DD" w:rsidRPr="0008072C" w:rsidRDefault="004301DD" w:rsidP="00B25B1E">
      <w:pPr>
        <w:spacing w:after="0" w:line="240" w:lineRule="auto"/>
        <w:rPr>
          <w:rFonts w:asciiTheme="majorHAnsi" w:hAnsiTheme="majorHAnsi"/>
          <w:color w:val="000000"/>
          <w:sz w:val="24"/>
          <w:szCs w:val="24"/>
        </w:rPr>
      </w:pPr>
    </w:p>
    <w:p w14:paraId="64A3C37A" w14:textId="77777777" w:rsidR="00A2380D" w:rsidRPr="0008072C" w:rsidRDefault="003E5C7D" w:rsidP="00B25B1E">
      <w:pPr>
        <w:pStyle w:val="ListParagraph"/>
        <w:numPr>
          <w:ilvl w:val="0"/>
          <w:numId w:val="2"/>
        </w:numPr>
        <w:ind w:left="360"/>
        <w:rPr>
          <w:rFonts w:asciiTheme="majorHAnsi" w:hAnsiTheme="majorHAnsi"/>
          <w:color w:val="000000"/>
        </w:rPr>
      </w:pPr>
      <w:r w:rsidRPr="008A380D">
        <w:rPr>
          <w:rFonts w:asciiTheme="majorHAnsi" w:hAnsiTheme="majorHAnsi"/>
          <w:color w:val="000000"/>
        </w:rPr>
        <w:t xml:space="preserve">SSHRC policy specifies </w:t>
      </w:r>
      <w:r w:rsidR="00315819">
        <w:rPr>
          <w:rFonts w:asciiTheme="majorHAnsi" w:hAnsiTheme="majorHAnsi"/>
          <w:color w:val="000000"/>
        </w:rPr>
        <w:t>a maximum</w:t>
      </w:r>
      <w:r w:rsidR="00315819" w:rsidRPr="008A380D">
        <w:rPr>
          <w:rFonts w:asciiTheme="majorHAnsi" w:hAnsiTheme="majorHAnsi"/>
          <w:color w:val="000000"/>
        </w:rPr>
        <w:t xml:space="preserve"> </w:t>
      </w:r>
      <w:r w:rsidRPr="008A380D">
        <w:rPr>
          <w:rFonts w:asciiTheme="majorHAnsi" w:hAnsiTheme="majorHAnsi"/>
          <w:color w:val="000000"/>
        </w:rPr>
        <w:t>amount for internal funds</w:t>
      </w:r>
      <w:r w:rsidR="00A2380D" w:rsidRPr="008A380D">
        <w:rPr>
          <w:rFonts w:asciiTheme="majorHAnsi" w:hAnsiTheme="majorHAnsi"/>
          <w:color w:val="000000"/>
        </w:rPr>
        <w:t>;</w:t>
      </w:r>
      <w:r w:rsidRPr="008A380D">
        <w:rPr>
          <w:rFonts w:asciiTheme="majorHAnsi" w:hAnsiTheme="majorHAnsi"/>
          <w:color w:val="000000"/>
        </w:rPr>
        <w:t xml:space="preserve">  </w:t>
      </w:r>
    </w:p>
    <w:p w14:paraId="798EFD5A" w14:textId="77777777" w:rsidR="003E5C7D" w:rsidRPr="0008072C" w:rsidRDefault="00A2380D" w:rsidP="00B25B1E">
      <w:pPr>
        <w:pStyle w:val="ListParagraph"/>
        <w:numPr>
          <w:ilvl w:val="0"/>
          <w:numId w:val="2"/>
        </w:numPr>
        <w:ind w:left="360"/>
        <w:rPr>
          <w:rFonts w:asciiTheme="majorHAnsi" w:hAnsiTheme="majorHAnsi"/>
          <w:color w:val="000000"/>
        </w:rPr>
      </w:pPr>
      <w:r w:rsidRPr="008A380D">
        <w:rPr>
          <w:rFonts w:asciiTheme="majorHAnsi" w:hAnsiTheme="majorHAnsi"/>
          <w:color w:val="000000"/>
        </w:rPr>
        <w:t>C</w:t>
      </w:r>
      <w:r w:rsidR="003E5C7D" w:rsidRPr="008A380D">
        <w:rPr>
          <w:rFonts w:asciiTheme="majorHAnsi" w:hAnsiTheme="majorHAnsi"/>
          <w:color w:val="000000"/>
        </w:rPr>
        <w:t xml:space="preserve">ompared </w:t>
      </w:r>
      <w:r w:rsidR="00F17DA4" w:rsidRPr="008A380D">
        <w:rPr>
          <w:rFonts w:asciiTheme="majorHAnsi" w:hAnsiTheme="majorHAnsi"/>
          <w:color w:val="000000"/>
        </w:rPr>
        <w:t xml:space="preserve">with </w:t>
      </w:r>
      <w:r w:rsidR="003E5C7D" w:rsidRPr="008A380D">
        <w:rPr>
          <w:rFonts w:asciiTheme="majorHAnsi" w:hAnsiTheme="majorHAnsi"/>
          <w:color w:val="000000"/>
        </w:rPr>
        <w:t xml:space="preserve">external grants, </w:t>
      </w:r>
      <w:r w:rsidR="00315819">
        <w:rPr>
          <w:rFonts w:asciiTheme="majorHAnsi" w:hAnsiTheme="majorHAnsi"/>
          <w:color w:val="000000"/>
        </w:rPr>
        <w:t xml:space="preserve">internal grant </w:t>
      </w:r>
      <w:r w:rsidR="003E5C7D" w:rsidRPr="008A380D">
        <w:rPr>
          <w:rFonts w:asciiTheme="majorHAnsi" w:hAnsiTheme="majorHAnsi"/>
          <w:color w:val="000000"/>
        </w:rPr>
        <w:t xml:space="preserve">projects </w:t>
      </w:r>
      <w:r w:rsidR="00315819">
        <w:rPr>
          <w:rFonts w:asciiTheme="majorHAnsi" w:hAnsiTheme="majorHAnsi"/>
          <w:color w:val="000000"/>
        </w:rPr>
        <w:t>are normally</w:t>
      </w:r>
      <w:r w:rsidR="003E5C7D" w:rsidRPr="008A380D">
        <w:rPr>
          <w:rFonts w:asciiTheme="majorHAnsi" w:hAnsiTheme="majorHAnsi"/>
          <w:color w:val="000000"/>
        </w:rPr>
        <w:t xml:space="preserve"> </w:t>
      </w:r>
      <w:r w:rsidR="000B3722">
        <w:rPr>
          <w:rFonts w:asciiTheme="majorHAnsi" w:hAnsiTheme="majorHAnsi"/>
          <w:color w:val="000000"/>
        </w:rPr>
        <w:t xml:space="preserve">of </w:t>
      </w:r>
      <w:r w:rsidR="003E5C7D" w:rsidRPr="008A380D">
        <w:rPr>
          <w:rFonts w:asciiTheme="majorHAnsi" w:hAnsiTheme="majorHAnsi"/>
          <w:color w:val="000000"/>
        </w:rPr>
        <w:t>shorter term</w:t>
      </w:r>
      <w:r w:rsidR="00E21D03">
        <w:rPr>
          <w:rFonts w:asciiTheme="majorHAnsi" w:hAnsiTheme="majorHAnsi"/>
          <w:color w:val="000000"/>
        </w:rPr>
        <w:t xml:space="preserve"> and</w:t>
      </w:r>
      <w:r w:rsidR="003E5C7D" w:rsidRPr="008A380D">
        <w:rPr>
          <w:rFonts w:asciiTheme="majorHAnsi" w:hAnsiTheme="majorHAnsi"/>
          <w:color w:val="000000"/>
        </w:rPr>
        <w:t xml:space="preserve"> or </w:t>
      </w:r>
      <w:r w:rsidR="000B3722">
        <w:rPr>
          <w:rFonts w:asciiTheme="majorHAnsi" w:hAnsiTheme="majorHAnsi"/>
          <w:color w:val="000000"/>
        </w:rPr>
        <w:t xml:space="preserve">on a </w:t>
      </w:r>
      <w:r w:rsidR="003E5C7D" w:rsidRPr="008A380D">
        <w:rPr>
          <w:rFonts w:asciiTheme="majorHAnsi" w:hAnsiTheme="majorHAnsi"/>
          <w:color w:val="000000"/>
        </w:rPr>
        <w:t xml:space="preserve">smaller scale.  </w:t>
      </w:r>
    </w:p>
    <w:p w14:paraId="7D9A6452" w14:textId="77777777" w:rsidR="004301DD" w:rsidRDefault="004301DD" w:rsidP="00B25B1E">
      <w:pPr>
        <w:spacing w:after="0" w:line="240" w:lineRule="auto"/>
        <w:rPr>
          <w:rFonts w:asciiTheme="majorHAnsi" w:hAnsiTheme="majorHAnsi"/>
          <w:color w:val="000000"/>
          <w:sz w:val="24"/>
          <w:szCs w:val="24"/>
        </w:rPr>
      </w:pPr>
    </w:p>
    <w:p w14:paraId="27079D18" w14:textId="3DCF0043" w:rsidR="00166546" w:rsidRDefault="00166546">
      <w:pPr>
        <w:spacing w:after="0" w:line="240" w:lineRule="auto"/>
        <w:rPr>
          <w:rFonts w:asciiTheme="majorHAnsi" w:hAnsiTheme="majorHAnsi"/>
          <w:color w:val="000000"/>
          <w:sz w:val="24"/>
          <w:szCs w:val="24"/>
        </w:rPr>
      </w:pPr>
    </w:p>
    <w:p w14:paraId="55982300" w14:textId="3474AE30" w:rsidR="00902F19" w:rsidRPr="0008072C" w:rsidRDefault="00F2147F" w:rsidP="00646EF4">
      <w:pPr>
        <w:spacing w:line="240" w:lineRule="auto"/>
        <w:rPr>
          <w:rFonts w:asciiTheme="majorHAnsi" w:hAnsiTheme="majorHAnsi"/>
          <w:color w:val="000000"/>
          <w:sz w:val="24"/>
          <w:szCs w:val="24"/>
        </w:rPr>
      </w:pPr>
      <w:r w:rsidRPr="00152705">
        <w:rPr>
          <w:rFonts w:asciiTheme="majorHAnsi" w:hAnsiTheme="majorHAnsi"/>
          <w:color w:val="000000" w:themeColor="text1"/>
          <w:sz w:val="24"/>
          <w:szCs w:val="24"/>
        </w:rPr>
        <w:t xml:space="preserve">Internal grants must be spent within the timeframe </w:t>
      </w:r>
      <w:r w:rsidR="000B3722" w:rsidRPr="00152705">
        <w:rPr>
          <w:rFonts w:asciiTheme="majorHAnsi" w:hAnsiTheme="majorHAnsi"/>
          <w:color w:val="000000" w:themeColor="text1"/>
          <w:sz w:val="24"/>
          <w:szCs w:val="24"/>
        </w:rPr>
        <w:t>specified on the award</w:t>
      </w:r>
      <w:r w:rsidRPr="00152705">
        <w:rPr>
          <w:rFonts w:asciiTheme="majorHAnsi" w:hAnsiTheme="majorHAnsi"/>
          <w:color w:val="000000" w:themeColor="text1"/>
          <w:sz w:val="24"/>
          <w:szCs w:val="24"/>
        </w:rPr>
        <w:t xml:space="preserve">. </w:t>
      </w:r>
      <w:r w:rsidR="00AA4C83" w:rsidRPr="00152705">
        <w:rPr>
          <w:rFonts w:asciiTheme="majorHAnsi" w:hAnsiTheme="majorHAnsi"/>
          <w:color w:val="000000" w:themeColor="text1"/>
          <w:sz w:val="24"/>
          <w:szCs w:val="24"/>
        </w:rPr>
        <w:t xml:space="preserve">Possible extensions are only granted for exceptional circumstances, and are normally for a maximum of six months. </w:t>
      </w:r>
      <w:r w:rsidR="0001583F" w:rsidRPr="00152705">
        <w:rPr>
          <w:rFonts w:asciiTheme="majorHAnsi" w:hAnsiTheme="majorHAnsi"/>
          <w:color w:val="000000" w:themeColor="text1"/>
          <w:sz w:val="24"/>
          <w:szCs w:val="24"/>
        </w:rPr>
        <w:t xml:space="preserve"> Researchers must provide a r</w:t>
      </w:r>
      <w:r w:rsidR="00AA4C83" w:rsidRPr="00152705">
        <w:rPr>
          <w:rFonts w:asciiTheme="majorHAnsi" w:hAnsiTheme="majorHAnsi"/>
          <w:color w:val="000000" w:themeColor="text1"/>
          <w:sz w:val="24"/>
          <w:szCs w:val="24"/>
        </w:rPr>
        <w:t xml:space="preserve">ationale in writing to the to the Associate Vice-President (Research). </w:t>
      </w:r>
      <w:r w:rsidR="00902F19" w:rsidRPr="0008072C">
        <w:rPr>
          <w:rFonts w:asciiTheme="majorHAnsi" w:hAnsiTheme="majorHAnsi"/>
          <w:color w:val="000000"/>
          <w:sz w:val="24"/>
          <w:szCs w:val="24"/>
        </w:rPr>
        <w:t xml:space="preserve">Faculty members who </w:t>
      </w:r>
      <w:r w:rsidR="00902F19">
        <w:rPr>
          <w:rFonts w:asciiTheme="majorHAnsi" w:hAnsiTheme="majorHAnsi"/>
          <w:color w:val="000000"/>
          <w:sz w:val="24"/>
          <w:szCs w:val="24"/>
        </w:rPr>
        <w:t xml:space="preserve">have applied for </w:t>
      </w:r>
      <w:r w:rsidR="00902F19" w:rsidRPr="0008072C">
        <w:rPr>
          <w:rFonts w:asciiTheme="majorHAnsi" w:hAnsiTheme="majorHAnsi"/>
          <w:color w:val="000000"/>
          <w:sz w:val="24"/>
          <w:szCs w:val="24"/>
        </w:rPr>
        <w:t xml:space="preserve">external </w:t>
      </w:r>
      <w:r w:rsidR="00902F19">
        <w:rPr>
          <w:rFonts w:asciiTheme="majorHAnsi" w:hAnsiTheme="majorHAnsi"/>
          <w:color w:val="000000"/>
          <w:sz w:val="24"/>
          <w:szCs w:val="24"/>
        </w:rPr>
        <w:t xml:space="preserve">research grant </w:t>
      </w:r>
      <w:r w:rsidR="00902F19" w:rsidRPr="0008072C">
        <w:rPr>
          <w:rFonts w:asciiTheme="majorHAnsi" w:hAnsiTheme="majorHAnsi"/>
          <w:color w:val="000000"/>
          <w:sz w:val="24"/>
          <w:szCs w:val="24"/>
        </w:rPr>
        <w:t xml:space="preserve">funding are eligible to apply for internal funds to begin their research project </w:t>
      </w:r>
      <w:r w:rsidR="00902F19">
        <w:rPr>
          <w:rFonts w:asciiTheme="majorHAnsi" w:hAnsiTheme="majorHAnsi"/>
          <w:color w:val="000000"/>
          <w:sz w:val="24"/>
          <w:szCs w:val="24"/>
        </w:rPr>
        <w:t xml:space="preserve">before the </w:t>
      </w:r>
      <w:r w:rsidR="00902F19" w:rsidRPr="0008072C">
        <w:rPr>
          <w:rFonts w:asciiTheme="majorHAnsi" w:hAnsiTheme="majorHAnsi"/>
          <w:color w:val="000000"/>
          <w:sz w:val="24"/>
          <w:szCs w:val="24"/>
        </w:rPr>
        <w:t>decision from the external agency</w:t>
      </w:r>
      <w:r w:rsidR="00902F19">
        <w:rPr>
          <w:rFonts w:asciiTheme="majorHAnsi" w:hAnsiTheme="majorHAnsi"/>
          <w:color w:val="000000"/>
          <w:sz w:val="24"/>
          <w:szCs w:val="24"/>
        </w:rPr>
        <w:t xml:space="preserve"> is received</w:t>
      </w:r>
      <w:r w:rsidR="00902F19" w:rsidRPr="0008072C">
        <w:rPr>
          <w:rFonts w:asciiTheme="majorHAnsi" w:hAnsiTheme="majorHAnsi"/>
          <w:color w:val="000000"/>
          <w:sz w:val="24"/>
          <w:szCs w:val="24"/>
        </w:rPr>
        <w:t>.</w:t>
      </w:r>
      <w:r w:rsidR="00902F19">
        <w:rPr>
          <w:rFonts w:asciiTheme="majorHAnsi" w:hAnsiTheme="majorHAnsi"/>
          <w:color w:val="000000"/>
          <w:sz w:val="24"/>
          <w:szCs w:val="24"/>
        </w:rPr>
        <w:t xml:space="preserve"> </w:t>
      </w:r>
      <w:r w:rsidR="00902F19" w:rsidRPr="0008072C">
        <w:rPr>
          <w:rFonts w:asciiTheme="majorHAnsi" w:hAnsiTheme="majorHAnsi"/>
          <w:color w:val="000000"/>
          <w:sz w:val="24"/>
          <w:szCs w:val="24"/>
        </w:rPr>
        <w:t xml:space="preserve">Faculty who receive external awards that cover the </w:t>
      </w:r>
      <w:r w:rsidR="00902F19">
        <w:rPr>
          <w:rFonts w:asciiTheme="majorHAnsi" w:hAnsiTheme="majorHAnsi"/>
          <w:color w:val="000000"/>
          <w:sz w:val="24"/>
          <w:szCs w:val="24"/>
        </w:rPr>
        <w:t xml:space="preserve">proposed </w:t>
      </w:r>
      <w:r w:rsidR="00902F19" w:rsidRPr="0008072C">
        <w:rPr>
          <w:rFonts w:asciiTheme="majorHAnsi" w:hAnsiTheme="majorHAnsi"/>
          <w:color w:val="000000"/>
          <w:sz w:val="24"/>
          <w:szCs w:val="24"/>
        </w:rPr>
        <w:t xml:space="preserve">costs of the </w:t>
      </w:r>
      <w:r w:rsidR="00902F19">
        <w:rPr>
          <w:rFonts w:asciiTheme="majorHAnsi" w:hAnsiTheme="majorHAnsi"/>
          <w:color w:val="000000"/>
          <w:sz w:val="24"/>
          <w:szCs w:val="24"/>
        </w:rPr>
        <w:t xml:space="preserve">internal award </w:t>
      </w:r>
      <w:r w:rsidR="00902F19" w:rsidRPr="0008072C">
        <w:rPr>
          <w:rFonts w:asciiTheme="majorHAnsi" w:hAnsiTheme="majorHAnsi"/>
          <w:color w:val="000000"/>
          <w:sz w:val="24"/>
          <w:szCs w:val="24"/>
        </w:rPr>
        <w:t>are expected to return any unspent internal funds</w:t>
      </w:r>
      <w:r w:rsidR="00902F19">
        <w:rPr>
          <w:rFonts w:asciiTheme="majorHAnsi" w:hAnsiTheme="majorHAnsi"/>
          <w:color w:val="000000"/>
          <w:sz w:val="24"/>
          <w:szCs w:val="24"/>
        </w:rPr>
        <w:t xml:space="preserve"> within one month of the award notification</w:t>
      </w:r>
      <w:r w:rsidR="00902F19" w:rsidRPr="0008072C">
        <w:rPr>
          <w:rFonts w:asciiTheme="majorHAnsi" w:hAnsiTheme="majorHAnsi"/>
          <w:color w:val="000000"/>
          <w:sz w:val="24"/>
          <w:szCs w:val="24"/>
        </w:rPr>
        <w:t xml:space="preserve">.  </w:t>
      </w:r>
    </w:p>
    <w:p w14:paraId="210C5AC5" w14:textId="77777777" w:rsidR="008A380D" w:rsidRDefault="008A380D" w:rsidP="00B25B1E">
      <w:pPr>
        <w:spacing w:after="0" w:line="240" w:lineRule="auto"/>
        <w:rPr>
          <w:rFonts w:asciiTheme="majorHAnsi" w:hAnsiTheme="majorHAnsi"/>
          <w:color w:val="000000"/>
          <w:sz w:val="24"/>
          <w:szCs w:val="24"/>
        </w:rPr>
      </w:pPr>
      <w:r w:rsidRPr="00FD787A">
        <w:rPr>
          <w:rFonts w:asciiTheme="majorHAnsi" w:hAnsiTheme="majorHAnsi"/>
          <w:color w:val="000000"/>
          <w:sz w:val="24"/>
          <w:szCs w:val="24"/>
        </w:rPr>
        <w:t>In the interest of promoting research, the Committee has created different envelopes of funding to which faculty members can direct their applications.  They are described below</w:t>
      </w:r>
      <w:r w:rsidR="008E4B75">
        <w:rPr>
          <w:rFonts w:asciiTheme="majorHAnsi" w:hAnsiTheme="majorHAnsi"/>
          <w:color w:val="000000"/>
          <w:sz w:val="24"/>
          <w:szCs w:val="24"/>
        </w:rPr>
        <w:t>.</w:t>
      </w:r>
    </w:p>
    <w:p w14:paraId="7203038A" w14:textId="77777777" w:rsidR="00B25B1E" w:rsidRDefault="00B25B1E" w:rsidP="00B25B1E">
      <w:pPr>
        <w:spacing w:after="0" w:line="240" w:lineRule="auto"/>
        <w:rPr>
          <w:rFonts w:asciiTheme="majorHAnsi" w:hAnsiTheme="majorHAnsi"/>
          <w:color w:val="000000"/>
          <w:sz w:val="24"/>
          <w:szCs w:val="24"/>
        </w:rPr>
      </w:pPr>
    </w:p>
    <w:p w14:paraId="78ABCC60" w14:textId="77777777" w:rsidR="008A380D" w:rsidRPr="00DB37A4" w:rsidRDefault="008A380D" w:rsidP="00B25B1E">
      <w:pPr>
        <w:pStyle w:val="Heading2"/>
        <w:numPr>
          <w:ilvl w:val="0"/>
          <w:numId w:val="12"/>
        </w:numPr>
        <w:spacing w:before="0"/>
      </w:pPr>
      <w:bookmarkStart w:id="1" w:name="_Toc161112722"/>
      <w:r w:rsidRPr="00DB37A4">
        <w:rPr>
          <w:rStyle w:val="Heading3Char1"/>
          <w:rFonts w:asciiTheme="majorHAnsi" w:hAnsiTheme="majorHAnsi" w:cstheme="majorBidi"/>
          <w:b/>
          <w:bCs/>
          <w:lang w:val="en-CA"/>
        </w:rPr>
        <w:t>Standard</w:t>
      </w:r>
      <w:bookmarkEnd w:id="1"/>
      <w:r w:rsidRPr="00DB37A4">
        <w:t xml:space="preserve">  </w:t>
      </w:r>
    </w:p>
    <w:p w14:paraId="6341AAFB" w14:textId="4B663C63" w:rsidR="00AF664F" w:rsidRDefault="00AF664F" w:rsidP="00B25B1E">
      <w:pPr>
        <w:pStyle w:val="ListParagraph"/>
        <w:numPr>
          <w:ilvl w:val="0"/>
          <w:numId w:val="9"/>
        </w:numPr>
        <w:rPr>
          <w:rFonts w:asciiTheme="majorHAnsi" w:hAnsiTheme="majorHAnsi"/>
          <w:color w:val="000000"/>
        </w:rPr>
      </w:pPr>
      <w:r>
        <w:rPr>
          <w:rFonts w:asciiTheme="majorHAnsi" w:hAnsiTheme="majorHAnsi"/>
          <w:color w:val="000000"/>
        </w:rPr>
        <w:t xml:space="preserve">Standard </w:t>
      </w:r>
      <w:r w:rsidR="00902F19">
        <w:rPr>
          <w:rFonts w:asciiTheme="majorHAnsi" w:hAnsiTheme="majorHAnsi"/>
          <w:color w:val="000000"/>
        </w:rPr>
        <w:t>G</w:t>
      </w:r>
      <w:r w:rsidR="008A380D" w:rsidRPr="008A380D">
        <w:rPr>
          <w:rFonts w:asciiTheme="majorHAnsi" w:hAnsiTheme="majorHAnsi"/>
          <w:color w:val="000000"/>
        </w:rPr>
        <w:t>rants</w:t>
      </w:r>
      <w:r>
        <w:rPr>
          <w:rFonts w:asciiTheme="majorHAnsi" w:hAnsiTheme="majorHAnsi"/>
          <w:color w:val="000000"/>
        </w:rPr>
        <w:t>:</w:t>
      </w:r>
    </w:p>
    <w:p w14:paraId="3A4B3F46" w14:textId="0C317304" w:rsidR="00AF664F" w:rsidRDefault="00AF664F" w:rsidP="00AF664F">
      <w:pPr>
        <w:pStyle w:val="ListParagraph"/>
        <w:numPr>
          <w:ilvl w:val="1"/>
          <w:numId w:val="9"/>
        </w:numPr>
        <w:rPr>
          <w:rFonts w:asciiTheme="majorHAnsi" w:hAnsiTheme="majorHAnsi"/>
          <w:color w:val="000000"/>
        </w:rPr>
      </w:pPr>
      <w:r>
        <w:rPr>
          <w:rFonts w:asciiTheme="majorHAnsi" w:hAnsiTheme="majorHAnsi"/>
          <w:color w:val="000000"/>
        </w:rPr>
        <w:t xml:space="preserve">Provide </w:t>
      </w:r>
      <w:r w:rsidR="008A380D" w:rsidRPr="008A380D">
        <w:rPr>
          <w:rFonts w:asciiTheme="majorHAnsi" w:hAnsiTheme="majorHAnsi"/>
          <w:color w:val="000000"/>
        </w:rPr>
        <w:t xml:space="preserve">seed money for pilot projects with potential for external </w:t>
      </w:r>
      <w:r w:rsidR="000B3722">
        <w:rPr>
          <w:rFonts w:asciiTheme="majorHAnsi" w:hAnsiTheme="majorHAnsi"/>
          <w:color w:val="000000"/>
        </w:rPr>
        <w:t>grant applications</w:t>
      </w:r>
      <w:r>
        <w:rPr>
          <w:rFonts w:asciiTheme="majorHAnsi" w:hAnsiTheme="majorHAnsi"/>
          <w:color w:val="000000"/>
        </w:rPr>
        <w:t xml:space="preserve">, </w:t>
      </w:r>
    </w:p>
    <w:p w14:paraId="3B66EE02" w14:textId="59A494FC" w:rsidR="00AF664F" w:rsidRDefault="00902F19" w:rsidP="00AF664F">
      <w:pPr>
        <w:pStyle w:val="ListParagraph"/>
        <w:numPr>
          <w:ilvl w:val="1"/>
          <w:numId w:val="9"/>
        </w:numPr>
        <w:rPr>
          <w:rFonts w:asciiTheme="majorHAnsi" w:hAnsiTheme="majorHAnsi"/>
          <w:color w:val="000000"/>
        </w:rPr>
      </w:pPr>
      <w:r>
        <w:rPr>
          <w:rFonts w:asciiTheme="majorHAnsi" w:hAnsiTheme="majorHAnsi"/>
          <w:color w:val="000000"/>
        </w:rPr>
        <w:t>Are</w:t>
      </w:r>
      <w:r w:rsidR="008A380D" w:rsidRPr="008A380D">
        <w:rPr>
          <w:rFonts w:asciiTheme="majorHAnsi" w:hAnsiTheme="majorHAnsi"/>
          <w:color w:val="000000"/>
        </w:rPr>
        <w:t xml:space="preserve"> used to support free-standing projects</w:t>
      </w:r>
      <w:r w:rsidR="000B3722">
        <w:rPr>
          <w:rFonts w:asciiTheme="majorHAnsi" w:hAnsiTheme="majorHAnsi"/>
          <w:color w:val="000000"/>
        </w:rPr>
        <w:t xml:space="preserve">, </w:t>
      </w:r>
    </w:p>
    <w:p w14:paraId="71CC79D4" w14:textId="52C11CAD" w:rsidR="008A380D" w:rsidRPr="008A380D" w:rsidRDefault="00AF664F" w:rsidP="00646EF4">
      <w:pPr>
        <w:pStyle w:val="ListParagraph"/>
        <w:numPr>
          <w:ilvl w:val="1"/>
          <w:numId w:val="9"/>
        </w:numPr>
        <w:rPr>
          <w:rFonts w:asciiTheme="majorHAnsi" w:hAnsiTheme="majorHAnsi"/>
          <w:color w:val="000000"/>
        </w:rPr>
      </w:pPr>
      <w:r>
        <w:rPr>
          <w:rFonts w:asciiTheme="majorHAnsi" w:hAnsiTheme="majorHAnsi"/>
          <w:color w:val="000000"/>
        </w:rPr>
        <w:t xml:space="preserve">Fund </w:t>
      </w:r>
      <w:r w:rsidR="008A380D" w:rsidRPr="008A380D">
        <w:rPr>
          <w:rFonts w:asciiTheme="majorHAnsi" w:hAnsiTheme="majorHAnsi"/>
          <w:color w:val="000000"/>
        </w:rPr>
        <w:t xml:space="preserve">new projects developing out of </w:t>
      </w:r>
      <w:r w:rsidR="000B3722">
        <w:rPr>
          <w:rFonts w:asciiTheme="majorHAnsi" w:hAnsiTheme="majorHAnsi"/>
          <w:color w:val="000000"/>
        </w:rPr>
        <w:t>previously</w:t>
      </w:r>
      <w:r w:rsidR="000B3722" w:rsidRPr="008A380D">
        <w:rPr>
          <w:rFonts w:asciiTheme="majorHAnsi" w:hAnsiTheme="majorHAnsi"/>
          <w:color w:val="000000"/>
        </w:rPr>
        <w:t xml:space="preserve"> </w:t>
      </w:r>
      <w:r w:rsidR="008A380D" w:rsidRPr="008A380D">
        <w:rPr>
          <w:rFonts w:asciiTheme="majorHAnsi" w:hAnsiTheme="majorHAnsi"/>
          <w:color w:val="000000"/>
        </w:rPr>
        <w:t xml:space="preserve">externally funded grant.  </w:t>
      </w:r>
    </w:p>
    <w:p w14:paraId="35E4032D" w14:textId="0B7570C5" w:rsidR="008A380D" w:rsidRPr="00FD787A" w:rsidRDefault="008A380D" w:rsidP="00B25B1E">
      <w:pPr>
        <w:pStyle w:val="ListParagraph"/>
        <w:numPr>
          <w:ilvl w:val="0"/>
          <w:numId w:val="9"/>
        </w:numPr>
        <w:autoSpaceDE w:val="0"/>
        <w:autoSpaceDN w:val="0"/>
        <w:adjustRightInd w:val="0"/>
        <w:rPr>
          <w:rFonts w:asciiTheme="majorHAnsi" w:hAnsiTheme="majorHAnsi"/>
          <w:color w:val="000000"/>
        </w:rPr>
      </w:pPr>
      <w:r w:rsidRPr="008A380D">
        <w:rPr>
          <w:rFonts w:asciiTheme="majorHAnsi" w:hAnsiTheme="majorHAnsi"/>
          <w:color w:val="000000"/>
        </w:rPr>
        <w:t>The grant period is two</w:t>
      </w:r>
      <w:r w:rsidR="00902F19">
        <w:rPr>
          <w:rFonts w:asciiTheme="majorHAnsi" w:hAnsiTheme="majorHAnsi"/>
          <w:color w:val="000000"/>
        </w:rPr>
        <w:t xml:space="preserve"> </w:t>
      </w:r>
      <w:r w:rsidRPr="008A380D">
        <w:rPr>
          <w:rFonts w:asciiTheme="majorHAnsi" w:hAnsiTheme="majorHAnsi"/>
          <w:color w:val="000000"/>
        </w:rPr>
        <w:t>years. The maximum amount awarded is $</w:t>
      </w:r>
      <w:r w:rsidR="00315819">
        <w:rPr>
          <w:rFonts w:asciiTheme="majorHAnsi" w:hAnsiTheme="majorHAnsi"/>
          <w:color w:val="000000"/>
        </w:rPr>
        <w:t>5,000</w:t>
      </w:r>
      <w:r w:rsidRPr="008A380D">
        <w:rPr>
          <w:rFonts w:asciiTheme="majorHAnsi" w:hAnsiTheme="majorHAnsi"/>
          <w:color w:val="000000"/>
        </w:rPr>
        <w:t>.</w:t>
      </w:r>
    </w:p>
    <w:p w14:paraId="075AB290" w14:textId="77777777" w:rsidR="008A380D" w:rsidRPr="00DB37A4" w:rsidRDefault="008A380D" w:rsidP="00B25B1E">
      <w:pPr>
        <w:spacing w:after="0" w:line="240" w:lineRule="auto"/>
        <w:rPr>
          <w:rFonts w:asciiTheme="majorHAnsi" w:hAnsiTheme="majorHAnsi"/>
          <w:color w:val="000000"/>
          <w:sz w:val="24"/>
          <w:szCs w:val="24"/>
          <w:lang w:val="en-CA"/>
        </w:rPr>
      </w:pPr>
    </w:p>
    <w:p w14:paraId="3D80F04A" w14:textId="77777777" w:rsidR="008A380D" w:rsidRPr="00DB37A4" w:rsidRDefault="008A380D" w:rsidP="00B25B1E">
      <w:pPr>
        <w:pStyle w:val="Heading2"/>
        <w:numPr>
          <w:ilvl w:val="0"/>
          <w:numId w:val="12"/>
        </w:numPr>
        <w:spacing w:before="0"/>
      </w:pPr>
      <w:bookmarkStart w:id="2" w:name="_Toc161112723"/>
      <w:r w:rsidRPr="00DB37A4">
        <w:rPr>
          <w:rStyle w:val="Heading3Char1"/>
          <w:rFonts w:asciiTheme="majorHAnsi" w:hAnsiTheme="majorHAnsi" w:cstheme="majorBidi"/>
          <w:b/>
          <w:bCs/>
          <w:lang w:val="en-CA"/>
        </w:rPr>
        <w:t>Aid to Scholarly Publications</w:t>
      </w:r>
      <w:bookmarkEnd w:id="2"/>
      <w:r w:rsidR="008E4B75" w:rsidRPr="00DB37A4">
        <w:rPr>
          <w:rStyle w:val="Heading3Char1"/>
          <w:rFonts w:asciiTheme="majorHAnsi" w:hAnsiTheme="majorHAnsi" w:cstheme="majorBidi"/>
          <w:b/>
          <w:bCs/>
          <w:lang w:val="en-CA"/>
        </w:rPr>
        <w:t xml:space="preserve"> and Communication</w:t>
      </w:r>
      <w:r w:rsidRPr="00DB37A4">
        <w:rPr>
          <w:rStyle w:val="Heading3Char1"/>
          <w:rFonts w:asciiTheme="majorHAnsi" w:hAnsiTheme="majorHAnsi" w:cstheme="majorBidi"/>
          <w:b/>
          <w:bCs/>
          <w:lang w:val="en-CA"/>
        </w:rPr>
        <w:t xml:space="preserve"> </w:t>
      </w:r>
    </w:p>
    <w:p w14:paraId="168F26A5" w14:textId="011378EC" w:rsidR="00C86459" w:rsidRPr="00C86459" w:rsidRDefault="00C86459" w:rsidP="00C86459">
      <w:pPr>
        <w:pStyle w:val="ListParagraph"/>
        <w:numPr>
          <w:ilvl w:val="0"/>
          <w:numId w:val="4"/>
        </w:numPr>
        <w:autoSpaceDE w:val="0"/>
        <w:autoSpaceDN w:val="0"/>
        <w:adjustRightInd w:val="0"/>
        <w:rPr>
          <w:rFonts w:ascii="Cambria" w:hAnsi="Cambria" w:cs="Tahoma"/>
        </w:rPr>
      </w:pPr>
      <w:r w:rsidRPr="00C86459">
        <w:rPr>
          <w:rFonts w:ascii="Cambria" w:hAnsi="Cambria" w:cs="Tahoma"/>
          <w:color w:val="000000"/>
        </w:rPr>
        <w:t>Researchers can request funds to defray the final costs of publishing a peer-reviewed work such as a paper, book, or report. Such costs can include editing or indexing</w:t>
      </w:r>
      <w:r w:rsidR="00BD35B3">
        <w:rPr>
          <w:rFonts w:ascii="Cambria" w:hAnsi="Cambria" w:cs="Tahoma"/>
          <w:color w:val="000000"/>
        </w:rPr>
        <w:t>, or article processing charges</w:t>
      </w:r>
      <w:r w:rsidRPr="00C86459">
        <w:rPr>
          <w:rFonts w:ascii="Cambria" w:hAnsi="Cambria" w:cs="Tahoma"/>
          <w:color w:val="000000"/>
        </w:rPr>
        <w:t xml:space="preserve"> Researchers can request funds for technical assistance with peer-reviewed papers, books or reports or costs associated with open access publishing. In addition, costs associated with non-print scholarly work, such as </w:t>
      </w:r>
      <w:r w:rsidR="00BD35B3">
        <w:rPr>
          <w:rFonts w:ascii="Cambria" w:hAnsi="Cambria" w:cs="Tahoma"/>
          <w:color w:val="000000"/>
        </w:rPr>
        <w:t>a media</w:t>
      </w:r>
      <w:r w:rsidRPr="00C86459">
        <w:rPr>
          <w:rFonts w:ascii="Cambria" w:hAnsi="Cambria" w:cs="Tahoma"/>
          <w:color w:val="000000"/>
        </w:rPr>
        <w:t xml:space="preserve"> production, an exhibit or a performance may also be applied. </w:t>
      </w:r>
    </w:p>
    <w:p w14:paraId="0CCA40AA" w14:textId="6312A457" w:rsidR="0018308D" w:rsidRDefault="008A380D" w:rsidP="00646EF4">
      <w:pPr>
        <w:pStyle w:val="ListParagraph"/>
        <w:numPr>
          <w:ilvl w:val="0"/>
          <w:numId w:val="4"/>
        </w:numPr>
        <w:autoSpaceDE w:val="0"/>
        <w:autoSpaceDN w:val="0"/>
        <w:adjustRightInd w:val="0"/>
        <w:rPr>
          <w:rFonts w:asciiTheme="majorHAnsi" w:hAnsiTheme="majorHAnsi"/>
        </w:rPr>
      </w:pPr>
      <w:r w:rsidRPr="002E1E67">
        <w:rPr>
          <w:rFonts w:asciiTheme="majorHAnsi" w:hAnsiTheme="majorHAnsi"/>
        </w:rPr>
        <w:t xml:space="preserve">The grant period is one year. The maximum amount awarded is </w:t>
      </w:r>
      <w:r w:rsidR="000B3722">
        <w:rPr>
          <w:rFonts w:asciiTheme="majorHAnsi" w:hAnsiTheme="majorHAnsi"/>
        </w:rPr>
        <w:t>$</w:t>
      </w:r>
      <w:r w:rsidR="002E1E67" w:rsidRPr="002E1E67">
        <w:rPr>
          <w:rFonts w:asciiTheme="majorHAnsi" w:hAnsiTheme="majorHAnsi"/>
        </w:rPr>
        <w:t>1,</w:t>
      </w:r>
      <w:r w:rsidR="00BD35B3">
        <w:rPr>
          <w:rFonts w:asciiTheme="majorHAnsi" w:hAnsiTheme="majorHAnsi"/>
        </w:rPr>
        <w:t>5</w:t>
      </w:r>
      <w:r w:rsidR="002E1E67">
        <w:rPr>
          <w:rFonts w:asciiTheme="majorHAnsi" w:hAnsiTheme="majorHAnsi"/>
        </w:rPr>
        <w:t>0</w:t>
      </w:r>
      <w:r w:rsidR="002E1E67" w:rsidRPr="002E1E67">
        <w:rPr>
          <w:rFonts w:asciiTheme="majorHAnsi" w:hAnsiTheme="majorHAnsi"/>
        </w:rPr>
        <w:t xml:space="preserve">0. </w:t>
      </w:r>
      <w:bookmarkStart w:id="3" w:name="_Toc161112724"/>
    </w:p>
    <w:p w14:paraId="461F807D" w14:textId="77777777" w:rsidR="003E05FB" w:rsidRPr="002E1E67" w:rsidRDefault="003E05FB" w:rsidP="002E1E67">
      <w:pPr>
        <w:pStyle w:val="ListParagraph"/>
        <w:autoSpaceDE w:val="0"/>
        <w:autoSpaceDN w:val="0"/>
        <w:adjustRightInd w:val="0"/>
      </w:pPr>
    </w:p>
    <w:p w14:paraId="4191273B" w14:textId="77777777" w:rsidR="002E1E67" w:rsidRDefault="002E1E67" w:rsidP="002E1E67">
      <w:pPr>
        <w:pStyle w:val="Heading2"/>
        <w:numPr>
          <w:ilvl w:val="0"/>
          <w:numId w:val="12"/>
        </w:numPr>
        <w:spacing w:before="0"/>
        <w:rPr>
          <w:rStyle w:val="Heading3Char1"/>
          <w:rFonts w:asciiTheme="majorHAnsi" w:hAnsiTheme="majorHAnsi" w:cstheme="majorBidi"/>
          <w:b/>
          <w:bCs/>
          <w:lang w:val="en-CA"/>
        </w:rPr>
      </w:pPr>
      <w:r>
        <w:rPr>
          <w:rStyle w:val="Heading3Char1"/>
          <w:rFonts w:asciiTheme="majorHAnsi" w:hAnsiTheme="majorHAnsi" w:cstheme="majorBidi"/>
          <w:b/>
          <w:bCs/>
          <w:lang w:val="en-CA"/>
        </w:rPr>
        <w:t>Book Launches</w:t>
      </w:r>
    </w:p>
    <w:p w14:paraId="789AEAE1" w14:textId="77777777" w:rsidR="002E1E67" w:rsidRPr="00FD787A" w:rsidRDefault="002E1E67" w:rsidP="002E1E67">
      <w:pPr>
        <w:pStyle w:val="ListParagraph"/>
        <w:numPr>
          <w:ilvl w:val="0"/>
          <w:numId w:val="16"/>
        </w:numPr>
        <w:autoSpaceDE w:val="0"/>
        <w:autoSpaceDN w:val="0"/>
        <w:adjustRightInd w:val="0"/>
        <w:rPr>
          <w:rFonts w:asciiTheme="majorHAnsi" w:hAnsiTheme="majorHAnsi"/>
        </w:rPr>
      </w:pPr>
      <w:r w:rsidRPr="008A380D">
        <w:rPr>
          <w:rFonts w:asciiTheme="majorHAnsi" w:hAnsiTheme="majorHAnsi"/>
        </w:rPr>
        <w:t xml:space="preserve">Researchers </w:t>
      </w:r>
      <w:r>
        <w:rPr>
          <w:rFonts w:asciiTheme="majorHAnsi" w:hAnsiTheme="majorHAnsi"/>
        </w:rPr>
        <w:t>may</w:t>
      </w:r>
      <w:r w:rsidRPr="008A380D">
        <w:rPr>
          <w:rFonts w:asciiTheme="majorHAnsi" w:hAnsiTheme="majorHAnsi"/>
        </w:rPr>
        <w:t xml:space="preserve"> request funds to defray costs associated with</w:t>
      </w:r>
      <w:r>
        <w:rPr>
          <w:rFonts w:asciiTheme="majorHAnsi" w:hAnsiTheme="majorHAnsi"/>
        </w:rPr>
        <w:t xml:space="preserve"> a book launch.</w:t>
      </w:r>
      <w:r w:rsidRPr="008A380D">
        <w:rPr>
          <w:rFonts w:asciiTheme="majorHAnsi" w:hAnsiTheme="majorHAnsi"/>
        </w:rPr>
        <w:t xml:space="preserve">  </w:t>
      </w:r>
    </w:p>
    <w:p w14:paraId="2F9A8081" w14:textId="2D1063E0" w:rsidR="002E1E67" w:rsidRPr="00902F19" w:rsidRDefault="002E1E67">
      <w:pPr>
        <w:pStyle w:val="ListParagraph"/>
        <w:numPr>
          <w:ilvl w:val="0"/>
          <w:numId w:val="16"/>
        </w:numPr>
        <w:autoSpaceDE w:val="0"/>
        <w:autoSpaceDN w:val="0"/>
        <w:adjustRightInd w:val="0"/>
        <w:rPr>
          <w:rFonts w:asciiTheme="majorHAnsi" w:hAnsiTheme="majorHAnsi"/>
        </w:rPr>
      </w:pPr>
      <w:r w:rsidRPr="008A380D">
        <w:rPr>
          <w:rFonts w:asciiTheme="majorHAnsi" w:hAnsiTheme="majorHAnsi"/>
        </w:rPr>
        <w:t>The grant period is one year. The maximum amount awarded is $</w:t>
      </w:r>
      <w:r>
        <w:rPr>
          <w:rFonts w:asciiTheme="majorHAnsi" w:hAnsiTheme="majorHAnsi"/>
        </w:rPr>
        <w:t>300.</w:t>
      </w:r>
    </w:p>
    <w:p w14:paraId="11E7D698" w14:textId="77777777" w:rsidR="002E1E67" w:rsidRDefault="002E1E67" w:rsidP="002E1E67">
      <w:pPr>
        <w:pStyle w:val="Heading2"/>
        <w:spacing w:before="0"/>
        <w:ind w:left="360"/>
        <w:rPr>
          <w:rStyle w:val="Heading3Char1"/>
          <w:rFonts w:asciiTheme="majorHAnsi" w:hAnsiTheme="majorHAnsi" w:cstheme="majorBidi"/>
          <w:b/>
          <w:bCs/>
          <w:lang w:val="en-CA"/>
        </w:rPr>
      </w:pPr>
    </w:p>
    <w:p w14:paraId="06203062" w14:textId="644CD9FF" w:rsidR="008A380D" w:rsidRPr="00DB37A4" w:rsidRDefault="008A380D" w:rsidP="00B25B1E">
      <w:pPr>
        <w:pStyle w:val="Heading2"/>
        <w:numPr>
          <w:ilvl w:val="0"/>
          <w:numId w:val="12"/>
        </w:numPr>
        <w:spacing w:before="0"/>
        <w:rPr>
          <w:rStyle w:val="Heading3Char1"/>
          <w:rFonts w:asciiTheme="majorHAnsi" w:hAnsiTheme="majorHAnsi" w:cstheme="majorBidi"/>
          <w:b/>
          <w:bCs/>
          <w:lang w:val="en-CA"/>
        </w:rPr>
      </w:pPr>
      <w:r w:rsidRPr="00DB37A4">
        <w:rPr>
          <w:rStyle w:val="Heading3Char1"/>
          <w:rFonts w:asciiTheme="majorHAnsi" w:hAnsiTheme="majorHAnsi" w:cstheme="majorBidi"/>
          <w:b/>
          <w:bCs/>
          <w:lang w:val="en-CA"/>
        </w:rPr>
        <w:t xml:space="preserve">Assistance to Prepare a </w:t>
      </w:r>
      <w:proofErr w:type="gramStart"/>
      <w:r w:rsidRPr="00DB37A4">
        <w:rPr>
          <w:rStyle w:val="Heading3Char1"/>
          <w:rFonts w:asciiTheme="majorHAnsi" w:hAnsiTheme="majorHAnsi" w:cstheme="majorBidi"/>
          <w:b/>
          <w:bCs/>
          <w:lang w:val="en-CA"/>
        </w:rPr>
        <w:t>Large Scale</w:t>
      </w:r>
      <w:proofErr w:type="gramEnd"/>
      <w:r w:rsidRPr="00DB37A4">
        <w:rPr>
          <w:rStyle w:val="Heading3Char1"/>
          <w:rFonts w:asciiTheme="majorHAnsi" w:hAnsiTheme="majorHAnsi" w:cstheme="majorBidi"/>
          <w:b/>
          <w:bCs/>
          <w:lang w:val="en-CA"/>
        </w:rPr>
        <w:t xml:space="preserve"> Grant Proposal </w:t>
      </w:r>
      <w:bookmarkEnd w:id="3"/>
    </w:p>
    <w:p w14:paraId="1BECC4B2" w14:textId="193F361B" w:rsidR="008A380D" w:rsidRPr="00FD787A" w:rsidRDefault="008A380D" w:rsidP="00B25B1E">
      <w:pPr>
        <w:pStyle w:val="ListParagraph"/>
        <w:numPr>
          <w:ilvl w:val="0"/>
          <w:numId w:val="7"/>
        </w:numPr>
        <w:autoSpaceDE w:val="0"/>
        <w:autoSpaceDN w:val="0"/>
        <w:adjustRightInd w:val="0"/>
        <w:ind w:left="720"/>
        <w:rPr>
          <w:rFonts w:asciiTheme="majorHAnsi" w:hAnsiTheme="majorHAnsi"/>
          <w:color w:val="000000"/>
        </w:rPr>
      </w:pPr>
      <w:r w:rsidRPr="00FD787A">
        <w:rPr>
          <w:rFonts w:asciiTheme="majorHAnsi" w:hAnsiTheme="majorHAnsi"/>
          <w:color w:val="000000"/>
        </w:rPr>
        <w:t xml:space="preserve">Applications can be made to obtain </w:t>
      </w:r>
      <w:r w:rsidRPr="00FD787A">
        <w:rPr>
          <w:rFonts w:asciiTheme="majorHAnsi" w:hAnsiTheme="majorHAnsi"/>
        </w:rPr>
        <w:t xml:space="preserve">assistance to prepare a </w:t>
      </w:r>
      <w:proofErr w:type="gramStart"/>
      <w:r w:rsidRPr="00FD787A">
        <w:rPr>
          <w:rFonts w:asciiTheme="majorHAnsi" w:hAnsiTheme="majorHAnsi"/>
        </w:rPr>
        <w:t>large scale</w:t>
      </w:r>
      <w:proofErr w:type="gramEnd"/>
      <w:r w:rsidRPr="00FD787A">
        <w:rPr>
          <w:rFonts w:asciiTheme="majorHAnsi" w:hAnsiTheme="majorHAnsi"/>
        </w:rPr>
        <w:t xml:space="preserve"> grant proposal (e.g., </w:t>
      </w:r>
      <w:r w:rsidR="00AF664F">
        <w:rPr>
          <w:rFonts w:asciiTheme="majorHAnsi" w:hAnsiTheme="majorHAnsi"/>
        </w:rPr>
        <w:t>administrative</w:t>
      </w:r>
      <w:r w:rsidR="00173A52">
        <w:rPr>
          <w:rFonts w:asciiTheme="majorHAnsi" w:hAnsiTheme="majorHAnsi"/>
        </w:rPr>
        <w:t xml:space="preserve"> </w:t>
      </w:r>
      <w:r w:rsidRPr="008A380D">
        <w:rPr>
          <w:rFonts w:asciiTheme="majorHAnsi" w:hAnsiTheme="majorHAnsi"/>
        </w:rPr>
        <w:t xml:space="preserve">or technical support, research team meetings, </w:t>
      </w:r>
      <w:r w:rsidR="00A26F2E" w:rsidRPr="008A380D">
        <w:rPr>
          <w:rFonts w:asciiTheme="majorHAnsi" w:hAnsiTheme="majorHAnsi"/>
        </w:rPr>
        <w:t>and application</w:t>
      </w:r>
      <w:r w:rsidRPr="008A380D">
        <w:rPr>
          <w:rFonts w:asciiTheme="majorHAnsi" w:hAnsiTheme="majorHAnsi"/>
        </w:rPr>
        <w:t xml:space="preserve"> c</w:t>
      </w:r>
      <w:r w:rsidRPr="008A380D">
        <w:rPr>
          <w:rFonts w:asciiTheme="majorHAnsi" w:hAnsiTheme="majorHAnsi"/>
          <w:color w:val="000000"/>
        </w:rPr>
        <w:t xml:space="preserve">oordination).  </w:t>
      </w:r>
    </w:p>
    <w:p w14:paraId="654290C4" w14:textId="77777777" w:rsidR="008A380D" w:rsidRPr="00FD787A" w:rsidRDefault="008A380D" w:rsidP="00B25B1E">
      <w:pPr>
        <w:pStyle w:val="ListParagraph"/>
        <w:numPr>
          <w:ilvl w:val="0"/>
          <w:numId w:val="7"/>
        </w:numPr>
        <w:autoSpaceDE w:val="0"/>
        <w:autoSpaceDN w:val="0"/>
        <w:adjustRightInd w:val="0"/>
        <w:ind w:left="720"/>
        <w:rPr>
          <w:rFonts w:asciiTheme="majorHAnsi" w:hAnsiTheme="majorHAnsi"/>
          <w:color w:val="000000"/>
        </w:rPr>
      </w:pPr>
      <w:r w:rsidRPr="008A380D">
        <w:rPr>
          <w:rFonts w:asciiTheme="majorHAnsi" w:hAnsiTheme="majorHAnsi"/>
          <w:color w:val="000000"/>
        </w:rPr>
        <w:t xml:space="preserve">This category of activity implies that Mount faculty are working as a lead partner or in a major role in a large national or international collaborative effort.  </w:t>
      </w:r>
    </w:p>
    <w:p w14:paraId="45B8A092" w14:textId="77777777" w:rsidR="008A380D" w:rsidRPr="00FD787A" w:rsidRDefault="008A380D" w:rsidP="00B25B1E">
      <w:pPr>
        <w:pStyle w:val="ListParagraph"/>
        <w:numPr>
          <w:ilvl w:val="0"/>
          <w:numId w:val="7"/>
        </w:numPr>
        <w:autoSpaceDE w:val="0"/>
        <w:autoSpaceDN w:val="0"/>
        <w:adjustRightInd w:val="0"/>
        <w:ind w:left="720"/>
        <w:rPr>
          <w:rFonts w:asciiTheme="majorHAnsi" w:hAnsiTheme="majorHAnsi"/>
          <w:color w:val="000000"/>
        </w:rPr>
      </w:pPr>
      <w:r w:rsidRPr="008A380D">
        <w:rPr>
          <w:rFonts w:asciiTheme="majorHAnsi" w:hAnsiTheme="majorHAnsi"/>
          <w:color w:val="000000"/>
        </w:rPr>
        <w:t xml:space="preserve">This category of activity does not include the more modest scale research grant competitions of SSHRC, NSERC, etc. </w:t>
      </w:r>
    </w:p>
    <w:p w14:paraId="56F4D40F" w14:textId="77777777" w:rsidR="008A380D" w:rsidRPr="00FD787A" w:rsidRDefault="008A380D" w:rsidP="00B25B1E">
      <w:pPr>
        <w:pStyle w:val="ListParagraph"/>
        <w:numPr>
          <w:ilvl w:val="0"/>
          <w:numId w:val="6"/>
        </w:numPr>
        <w:autoSpaceDE w:val="0"/>
        <w:autoSpaceDN w:val="0"/>
        <w:adjustRightInd w:val="0"/>
        <w:ind w:left="720"/>
        <w:rPr>
          <w:rFonts w:asciiTheme="majorHAnsi" w:hAnsiTheme="majorHAnsi"/>
          <w:color w:val="000000"/>
        </w:rPr>
      </w:pPr>
      <w:r w:rsidRPr="008A380D">
        <w:rPr>
          <w:rFonts w:asciiTheme="majorHAnsi" w:hAnsiTheme="majorHAnsi"/>
          <w:color w:val="000000"/>
        </w:rPr>
        <w:t>The grant period is for one year. The maximum amount awarded is $2,500.</w:t>
      </w:r>
    </w:p>
    <w:p w14:paraId="0978272F" w14:textId="77777777" w:rsidR="008A380D" w:rsidRPr="00FD787A" w:rsidRDefault="008A380D" w:rsidP="00B25B1E">
      <w:pPr>
        <w:spacing w:after="0" w:line="240" w:lineRule="auto"/>
        <w:rPr>
          <w:rFonts w:asciiTheme="majorHAnsi" w:hAnsiTheme="majorHAnsi"/>
          <w:color w:val="000000"/>
          <w:sz w:val="24"/>
          <w:szCs w:val="24"/>
        </w:rPr>
      </w:pPr>
    </w:p>
    <w:p w14:paraId="6183E07B" w14:textId="77777777" w:rsidR="008A380D" w:rsidRPr="00DB37A4" w:rsidRDefault="008A380D" w:rsidP="00B25B1E">
      <w:pPr>
        <w:pStyle w:val="Heading2"/>
        <w:numPr>
          <w:ilvl w:val="0"/>
          <w:numId w:val="12"/>
        </w:numPr>
        <w:spacing w:before="0"/>
      </w:pPr>
      <w:bookmarkStart w:id="4" w:name="_Toc85871902"/>
      <w:bookmarkStart w:id="5" w:name="_Toc161112725"/>
      <w:r w:rsidRPr="00DB37A4">
        <w:rPr>
          <w:rStyle w:val="Heading3Char1"/>
          <w:rFonts w:asciiTheme="majorHAnsi" w:hAnsiTheme="majorHAnsi" w:cstheme="majorBidi"/>
          <w:b/>
          <w:bCs/>
          <w:lang w:val="en-CA"/>
        </w:rPr>
        <w:t>Salary-Based</w:t>
      </w:r>
      <w:bookmarkEnd w:id="4"/>
      <w:r w:rsidRPr="00DB37A4">
        <w:rPr>
          <w:rStyle w:val="Heading3Char1"/>
          <w:rFonts w:asciiTheme="majorHAnsi" w:hAnsiTheme="majorHAnsi" w:cstheme="majorBidi"/>
          <w:b/>
          <w:bCs/>
          <w:lang w:val="en-CA"/>
        </w:rPr>
        <w:t xml:space="preserve"> Grant</w:t>
      </w:r>
      <w:bookmarkEnd w:id="5"/>
    </w:p>
    <w:p w14:paraId="1B47C78C" w14:textId="77777777" w:rsidR="008A380D" w:rsidRDefault="008A380D" w:rsidP="00B25B1E">
      <w:pPr>
        <w:pStyle w:val="ListParagraph"/>
        <w:numPr>
          <w:ilvl w:val="0"/>
          <w:numId w:val="5"/>
        </w:numPr>
        <w:autoSpaceDE w:val="0"/>
        <w:autoSpaceDN w:val="0"/>
        <w:adjustRightInd w:val="0"/>
        <w:rPr>
          <w:rFonts w:asciiTheme="majorHAnsi" w:hAnsiTheme="majorHAnsi"/>
          <w:color w:val="000000"/>
        </w:rPr>
      </w:pPr>
      <w:r w:rsidRPr="00FD787A">
        <w:rPr>
          <w:rFonts w:asciiTheme="majorHAnsi" w:hAnsiTheme="majorHAnsi"/>
          <w:color w:val="000000"/>
        </w:rPr>
        <w:t xml:space="preserve">Applicants whose proposal for a salary-based grant is approved will have their gross salary reduced by an amount corresponding to the total of the </w:t>
      </w:r>
      <w:r w:rsidR="00152705" w:rsidRPr="00FD787A">
        <w:rPr>
          <w:rFonts w:asciiTheme="majorHAnsi" w:hAnsiTheme="majorHAnsi"/>
          <w:color w:val="000000"/>
        </w:rPr>
        <w:t>grant.</w:t>
      </w:r>
      <w:r w:rsidR="00152705">
        <w:rPr>
          <w:rFonts w:asciiTheme="majorHAnsi" w:hAnsiTheme="majorHAnsi"/>
          <w:color w:val="000000"/>
        </w:rPr>
        <w:t xml:space="preserve"> </w:t>
      </w:r>
      <w:r w:rsidR="00152705" w:rsidRPr="008A380D">
        <w:rPr>
          <w:rFonts w:asciiTheme="majorHAnsi" w:hAnsiTheme="majorHAnsi"/>
          <w:color w:val="000000"/>
        </w:rPr>
        <w:t>The</w:t>
      </w:r>
      <w:r w:rsidRPr="008A380D">
        <w:rPr>
          <w:rFonts w:asciiTheme="majorHAnsi" w:hAnsiTheme="majorHAnsi"/>
          <w:color w:val="000000"/>
        </w:rPr>
        <w:t xml:space="preserve"> gross monthly amount of grant and salary (before deductions) may not exceed the normal gross monthly salary. </w:t>
      </w:r>
    </w:p>
    <w:p w14:paraId="2BBEF8D0" w14:textId="77777777" w:rsidR="003E05FB" w:rsidRPr="00FD787A" w:rsidRDefault="003E05FB" w:rsidP="003E05FB">
      <w:pPr>
        <w:pStyle w:val="ListParagraph"/>
        <w:autoSpaceDE w:val="0"/>
        <w:autoSpaceDN w:val="0"/>
        <w:adjustRightInd w:val="0"/>
        <w:rPr>
          <w:rFonts w:asciiTheme="majorHAnsi" w:hAnsiTheme="majorHAnsi"/>
          <w:color w:val="000000"/>
        </w:rPr>
      </w:pPr>
    </w:p>
    <w:p w14:paraId="585C0AD1" w14:textId="77777777" w:rsidR="00DC78E8" w:rsidRDefault="008A380D" w:rsidP="00B25B1E">
      <w:pPr>
        <w:autoSpaceDE w:val="0"/>
        <w:autoSpaceDN w:val="0"/>
        <w:adjustRightInd w:val="0"/>
        <w:spacing w:after="0" w:line="240" w:lineRule="auto"/>
        <w:ind w:left="720"/>
        <w:rPr>
          <w:rFonts w:asciiTheme="majorHAnsi" w:hAnsiTheme="majorHAnsi"/>
          <w:color w:val="000000"/>
          <w:sz w:val="24"/>
          <w:szCs w:val="24"/>
        </w:rPr>
      </w:pPr>
      <w:r w:rsidRPr="008A380D">
        <w:rPr>
          <w:rFonts w:asciiTheme="majorHAnsi" w:hAnsiTheme="majorHAnsi"/>
          <w:b/>
          <w:bCs/>
          <w:color w:val="000000"/>
        </w:rPr>
        <w:t>Note</w:t>
      </w:r>
      <w:r w:rsidRPr="008A380D">
        <w:rPr>
          <w:rFonts w:asciiTheme="majorHAnsi" w:hAnsiTheme="majorHAnsi"/>
          <w:color w:val="000000"/>
        </w:rPr>
        <w:t xml:space="preserve">: It is incumbent on the grant recipient to contact MSVU Payroll Office to establish the grant as soon as notification of the award is received. </w:t>
      </w:r>
      <w:r w:rsidR="00DC78E8" w:rsidRPr="001146CE">
        <w:rPr>
          <w:rFonts w:asciiTheme="majorHAnsi" w:hAnsiTheme="majorHAnsi"/>
          <w:color w:val="000000"/>
          <w:sz w:val="24"/>
          <w:szCs w:val="24"/>
        </w:rPr>
        <w:t xml:space="preserve">For more information and general guidelines on salary-based grants, please refer to the </w:t>
      </w:r>
      <w:r w:rsidR="00DC78E8" w:rsidRPr="001146CE">
        <w:rPr>
          <w:rFonts w:asciiTheme="majorHAnsi" w:hAnsiTheme="majorHAnsi"/>
          <w:b/>
          <w:bCs/>
          <w:color w:val="000000"/>
          <w:sz w:val="24"/>
          <w:szCs w:val="24"/>
        </w:rPr>
        <w:t>Canada Revenue Agency</w:t>
      </w:r>
      <w:r w:rsidR="00DC78E8" w:rsidRPr="001146CE">
        <w:rPr>
          <w:rFonts w:asciiTheme="majorHAnsi" w:hAnsiTheme="majorHAnsi"/>
          <w:color w:val="000000"/>
          <w:sz w:val="24"/>
          <w:szCs w:val="24"/>
        </w:rPr>
        <w:t xml:space="preserve"> Income Tax Folio (March 28, 2013) ~ </w:t>
      </w:r>
      <w:r w:rsidR="00DC78E8" w:rsidRPr="001146CE">
        <w:rPr>
          <w:rFonts w:asciiTheme="majorHAnsi" w:hAnsiTheme="majorHAnsi"/>
          <w:i/>
          <w:sz w:val="24"/>
          <w:szCs w:val="24"/>
          <w:lang w:val="en"/>
        </w:rPr>
        <w:t>S1-F2-C3: Scholarships, Research Grants and Other Education Assistance</w:t>
      </w:r>
      <w:r w:rsidR="00E34198">
        <w:rPr>
          <w:rFonts w:asciiTheme="majorHAnsi" w:hAnsiTheme="majorHAnsi"/>
          <w:color w:val="000000"/>
          <w:sz w:val="24"/>
          <w:szCs w:val="24"/>
        </w:rPr>
        <w:t xml:space="preserve"> (</w:t>
      </w:r>
      <w:hyperlink r:id="rId13" w:history="1">
        <w:r w:rsidR="00DC78E8" w:rsidRPr="001146CE">
          <w:rPr>
            <w:rStyle w:val="Hyperlink"/>
            <w:rFonts w:asciiTheme="majorHAnsi" w:hAnsiTheme="majorHAnsi"/>
            <w:sz w:val="24"/>
            <w:szCs w:val="24"/>
          </w:rPr>
          <w:t>http://www.cra-arc.gc.ca/tx/tchncl/ncmtx/fls/s1/f2/s1-f2-c3-eng.html</w:t>
        </w:r>
      </w:hyperlink>
      <w:r w:rsidR="00DC78E8" w:rsidRPr="001146CE">
        <w:rPr>
          <w:rFonts w:asciiTheme="majorHAnsi" w:hAnsiTheme="majorHAnsi"/>
          <w:color w:val="000000"/>
          <w:sz w:val="24"/>
          <w:szCs w:val="24"/>
        </w:rPr>
        <w:t>)</w:t>
      </w:r>
    </w:p>
    <w:p w14:paraId="5E17EA29" w14:textId="77777777" w:rsidR="00B25B1E" w:rsidRDefault="00B25B1E" w:rsidP="00B25B1E">
      <w:pPr>
        <w:autoSpaceDE w:val="0"/>
        <w:autoSpaceDN w:val="0"/>
        <w:adjustRightInd w:val="0"/>
        <w:spacing w:after="0" w:line="240" w:lineRule="auto"/>
        <w:ind w:left="720"/>
        <w:rPr>
          <w:rStyle w:val="Strong"/>
          <w:rFonts w:asciiTheme="majorHAnsi" w:hAnsiTheme="majorHAnsi"/>
          <w:bCs w:val="0"/>
          <w:color w:val="000000"/>
        </w:rPr>
      </w:pPr>
    </w:p>
    <w:p w14:paraId="567F18DC" w14:textId="77777777" w:rsidR="000E260F" w:rsidRPr="000E260F" w:rsidRDefault="000E260F" w:rsidP="003E05FB">
      <w:pPr>
        <w:autoSpaceDE w:val="0"/>
        <w:autoSpaceDN w:val="0"/>
        <w:adjustRightInd w:val="0"/>
        <w:spacing w:after="0" w:line="240" w:lineRule="auto"/>
        <w:rPr>
          <w:rStyle w:val="Strong"/>
          <w:rFonts w:asciiTheme="majorHAnsi" w:hAnsiTheme="majorHAnsi"/>
          <w:bCs w:val="0"/>
          <w:color w:val="000000"/>
        </w:rPr>
      </w:pPr>
      <w:r>
        <w:rPr>
          <w:rStyle w:val="Strong"/>
          <w:rFonts w:asciiTheme="majorHAnsi" w:hAnsiTheme="majorHAnsi"/>
          <w:bCs w:val="0"/>
          <w:color w:val="000000"/>
        </w:rPr>
        <w:t>Additional areas of funding:</w:t>
      </w:r>
    </w:p>
    <w:p w14:paraId="64E99453" w14:textId="77777777" w:rsidR="00DB37A4" w:rsidRDefault="00B233D6" w:rsidP="00B25B1E">
      <w:pPr>
        <w:pStyle w:val="ListParagraph"/>
        <w:numPr>
          <w:ilvl w:val="0"/>
          <w:numId w:val="15"/>
        </w:numPr>
        <w:autoSpaceDE w:val="0"/>
        <w:autoSpaceDN w:val="0"/>
        <w:adjustRightInd w:val="0"/>
        <w:ind w:left="1080"/>
        <w:rPr>
          <w:rStyle w:val="Strong"/>
          <w:rFonts w:asciiTheme="majorHAnsi" w:hAnsiTheme="majorHAnsi"/>
          <w:b w:val="0"/>
          <w:bCs w:val="0"/>
          <w:color w:val="000000"/>
          <w:lang w:val="en-GB"/>
        </w:rPr>
      </w:pPr>
      <w:r w:rsidRPr="000E260F">
        <w:rPr>
          <w:rStyle w:val="Strong"/>
          <w:rFonts w:asciiTheme="majorHAnsi" w:hAnsiTheme="majorHAnsi"/>
          <w:b w:val="0"/>
          <w:bCs w:val="0"/>
          <w:color w:val="000000"/>
          <w:lang w:val="en-GB"/>
        </w:rPr>
        <w:t xml:space="preserve">For detailed information on </w:t>
      </w:r>
      <w:r w:rsidRPr="000E260F">
        <w:rPr>
          <w:rStyle w:val="Strong"/>
          <w:rFonts w:asciiTheme="majorHAnsi" w:hAnsiTheme="majorHAnsi"/>
          <w:bCs w:val="0"/>
          <w:color w:val="000000"/>
          <w:lang w:val="en-GB"/>
        </w:rPr>
        <w:t>New Scholars Grants</w:t>
      </w:r>
      <w:r w:rsidRPr="000E260F">
        <w:rPr>
          <w:rStyle w:val="Strong"/>
          <w:rFonts w:asciiTheme="majorHAnsi" w:hAnsiTheme="majorHAnsi"/>
          <w:b w:val="0"/>
          <w:bCs w:val="0"/>
          <w:color w:val="000000"/>
          <w:lang w:val="en-GB"/>
        </w:rPr>
        <w:t>, please see CRP.SOP.009</w:t>
      </w:r>
    </w:p>
    <w:p w14:paraId="502C0090" w14:textId="0BBACCF9" w:rsidR="00B233D6" w:rsidRDefault="00B233D6" w:rsidP="00B25B1E">
      <w:pPr>
        <w:pStyle w:val="ListParagraph"/>
        <w:numPr>
          <w:ilvl w:val="0"/>
          <w:numId w:val="15"/>
        </w:numPr>
        <w:autoSpaceDE w:val="0"/>
        <w:autoSpaceDN w:val="0"/>
        <w:adjustRightInd w:val="0"/>
        <w:ind w:left="1080"/>
        <w:rPr>
          <w:rStyle w:val="Strong"/>
          <w:rFonts w:asciiTheme="majorHAnsi" w:hAnsiTheme="majorHAnsi"/>
          <w:b w:val="0"/>
          <w:bCs w:val="0"/>
          <w:color w:val="000000"/>
          <w:lang w:val="en-GB"/>
        </w:rPr>
      </w:pPr>
      <w:r w:rsidRPr="000E260F">
        <w:rPr>
          <w:rStyle w:val="Strong"/>
          <w:rFonts w:asciiTheme="majorHAnsi" w:hAnsiTheme="majorHAnsi"/>
          <w:b w:val="0"/>
          <w:bCs w:val="0"/>
          <w:color w:val="000000"/>
          <w:lang w:val="en-GB"/>
        </w:rPr>
        <w:t xml:space="preserve">Special </w:t>
      </w:r>
      <w:r w:rsidR="000E260F" w:rsidRPr="000E260F">
        <w:rPr>
          <w:rStyle w:val="Strong"/>
          <w:rFonts w:asciiTheme="majorHAnsi" w:hAnsiTheme="majorHAnsi"/>
          <w:b w:val="0"/>
          <w:bCs w:val="0"/>
          <w:color w:val="000000"/>
          <w:lang w:val="en-GB"/>
        </w:rPr>
        <w:t>envelopes</w:t>
      </w:r>
      <w:r w:rsidRPr="000E260F">
        <w:rPr>
          <w:rStyle w:val="Strong"/>
          <w:rFonts w:asciiTheme="majorHAnsi" w:hAnsiTheme="majorHAnsi"/>
          <w:b w:val="0"/>
          <w:bCs w:val="0"/>
          <w:color w:val="000000"/>
          <w:lang w:val="en-GB"/>
        </w:rPr>
        <w:t xml:space="preserve"> of funding are available in addition to those referenced above. Please see CRP.SOP.010 for details.</w:t>
      </w:r>
    </w:p>
    <w:p w14:paraId="185631C5" w14:textId="43B92482" w:rsidR="00173A52" w:rsidRDefault="00173A52" w:rsidP="00B25B1E">
      <w:pPr>
        <w:pStyle w:val="ListParagraph"/>
        <w:numPr>
          <w:ilvl w:val="0"/>
          <w:numId w:val="15"/>
        </w:numPr>
        <w:autoSpaceDE w:val="0"/>
        <w:autoSpaceDN w:val="0"/>
        <w:adjustRightInd w:val="0"/>
        <w:ind w:left="1080"/>
        <w:rPr>
          <w:rStyle w:val="Strong"/>
          <w:rFonts w:asciiTheme="majorHAnsi" w:hAnsiTheme="majorHAnsi"/>
          <w:b w:val="0"/>
          <w:bCs w:val="0"/>
          <w:color w:val="000000"/>
          <w:lang w:val="en-GB"/>
        </w:rPr>
      </w:pPr>
      <w:r w:rsidRPr="00173A52">
        <w:rPr>
          <w:rStyle w:val="Strong"/>
          <w:rFonts w:asciiTheme="majorHAnsi" w:hAnsiTheme="majorHAnsi"/>
          <w:b w:val="0"/>
          <w:bCs w:val="0"/>
          <w:color w:val="000000"/>
          <w:lang w:val="en-GB"/>
        </w:rPr>
        <w:t xml:space="preserve">In every case above, the application forms are available on the MSVU Research Office </w:t>
      </w:r>
      <w:r>
        <w:rPr>
          <w:rStyle w:val="Strong"/>
          <w:rFonts w:asciiTheme="majorHAnsi" w:hAnsiTheme="majorHAnsi"/>
          <w:b w:val="0"/>
          <w:bCs w:val="0"/>
          <w:color w:val="000000"/>
          <w:lang w:val="en-GB"/>
        </w:rPr>
        <w:t>w</w:t>
      </w:r>
      <w:r w:rsidRPr="00173A52">
        <w:rPr>
          <w:rStyle w:val="Strong"/>
          <w:rFonts w:asciiTheme="majorHAnsi" w:hAnsiTheme="majorHAnsi"/>
          <w:b w:val="0"/>
          <w:bCs w:val="0"/>
          <w:color w:val="000000"/>
          <w:lang w:val="en-GB"/>
        </w:rPr>
        <w:t>ebsite</w:t>
      </w:r>
      <w:r>
        <w:rPr>
          <w:rStyle w:val="Strong"/>
          <w:rFonts w:asciiTheme="majorHAnsi" w:hAnsiTheme="majorHAnsi"/>
          <w:b w:val="0"/>
          <w:bCs w:val="0"/>
          <w:color w:val="000000"/>
          <w:lang w:val="en-GB"/>
        </w:rPr>
        <w:t>.</w:t>
      </w:r>
    </w:p>
    <w:p w14:paraId="431E7126" w14:textId="77777777" w:rsidR="00280821" w:rsidRDefault="00280821" w:rsidP="00B25B1E">
      <w:pPr>
        <w:pStyle w:val="ListParagraph"/>
        <w:autoSpaceDE w:val="0"/>
        <w:autoSpaceDN w:val="0"/>
        <w:adjustRightInd w:val="0"/>
        <w:ind w:left="1080"/>
        <w:rPr>
          <w:rStyle w:val="Strong"/>
          <w:rFonts w:asciiTheme="majorHAnsi" w:hAnsiTheme="majorHAnsi"/>
          <w:b w:val="0"/>
          <w:bCs w:val="0"/>
          <w:color w:val="000000"/>
          <w:lang w:val="en-GB"/>
        </w:rPr>
      </w:pPr>
    </w:p>
    <w:sectPr w:rsidR="00280821" w:rsidSect="00541308">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2126" w14:textId="77777777" w:rsidR="0092262A" w:rsidRDefault="0092262A" w:rsidP="00C142DD">
      <w:pPr>
        <w:spacing w:after="0" w:line="240" w:lineRule="auto"/>
      </w:pPr>
      <w:r>
        <w:separator/>
      </w:r>
    </w:p>
    <w:p w14:paraId="5F6E8F51" w14:textId="77777777" w:rsidR="00000000" w:rsidRDefault="00646EF4"/>
    <w:p w14:paraId="3195EF44" w14:textId="77777777" w:rsidR="00000000" w:rsidRDefault="00646EF4"/>
  </w:endnote>
  <w:endnote w:type="continuationSeparator" w:id="0">
    <w:p w14:paraId="7A487502" w14:textId="77777777" w:rsidR="0092262A" w:rsidRDefault="0092262A" w:rsidP="00C142DD">
      <w:pPr>
        <w:spacing w:after="0" w:line="240" w:lineRule="auto"/>
      </w:pPr>
      <w:r>
        <w:continuationSeparator/>
      </w:r>
    </w:p>
    <w:p w14:paraId="6AEDF227" w14:textId="77777777" w:rsidR="00000000" w:rsidRDefault="00646EF4"/>
    <w:p w14:paraId="0B22B4D8" w14:textId="77777777" w:rsidR="00000000" w:rsidRDefault="0064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627A" w14:textId="77777777" w:rsidR="004301DD" w:rsidRDefault="004301DD">
    <w:pPr>
      <w:pStyle w:val="Footer"/>
      <w:pBdr>
        <w:top w:val="thinThickSmallGap" w:sz="24" w:space="1" w:color="622423" w:themeColor="accent2" w:themeShade="7F"/>
      </w:pBdr>
      <w:rPr>
        <w:rFonts w:asciiTheme="majorHAnsi" w:hAnsiTheme="majorHAnsi"/>
      </w:rPr>
    </w:pPr>
    <w:r>
      <w:rPr>
        <w:rFonts w:asciiTheme="majorHAnsi" w:hAnsiTheme="majorHAnsi"/>
      </w:rPr>
      <w:t>CRP.SOP.003 Purpose and Envelopes of Funding</w:t>
    </w:r>
  </w:p>
  <w:p w14:paraId="33FFAB4D" w14:textId="6374B1A7" w:rsidR="004301DD" w:rsidRDefault="00E50ABB">
    <w:pPr>
      <w:pStyle w:val="Footer"/>
      <w:pBdr>
        <w:top w:val="thinThickSmallGap" w:sz="24" w:space="1" w:color="622423" w:themeColor="accent2" w:themeShade="7F"/>
      </w:pBdr>
      <w:rPr>
        <w:rFonts w:asciiTheme="majorHAnsi" w:hAnsiTheme="majorHAnsi"/>
      </w:rPr>
    </w:pPr>
    <w:r>
      <w:rPr>
        <w:rFonts w:asciiTheme="majorHAnsi" w:hAnsiTheme="majorHAnsi"/>
      </w:rPr>
      <w:t xml:space="preserve">Last Updated: </w:t>
    </w:r>
    <w:r w:rsidR="00AF664F">
      <w:rPr>
        <w:rFonts w:asciiTheme="majorHAnsi" w:hAnsiTheme="majorHAnsi"/>
      </w:rPr>
      <w:t>June 2021</w:t>
    </w:r>
    <w:r w:rsidR="004301DD">
      <w:rPr>
        <w:rFonts w:asciiTheme="majorHAnsi" w:hAnsiTheme="majorHAnsi"/>
      </w:rPr>
      <w:ptab w:relativeTo="margin" w:alignment="right" w:leader="none"/>
    </w:r>
    <w:r w:rsidR="004301DD">
      <w:rPr>
        <w:rFonts w:asciiTheme="majorHAnsi" w:hAnsiTheme="majorHAnsi"/>
      </w:rPr>
      <w:t xml:space="preserve">Page </w:t>
    </w:r>
    <w:r w:rsidR="004301DD">
      <w:fldChar w:fldCharType="begin"/>
    </w:r>
    <w:r w:rsidR="004301DD">
      <w:instrText xml:space="preserve"> PAGE   \* MERGEFORMAT </w:instrText>
    </w:r>
    <w:r w:rsidR="004301DD">
      <w:fldChar w:fldCharType="separate"/>
    </w:r>
    <w:r w:rsidR="00576A93" w:rsidRPr="00576A93">
      <w:rPr>
        <w:rFonts w:asciiTheme="majorHAnsi" w:hAnsiTheme="majorHAnsi"/>
        <w:noProof/>
      </w:rPr>
      <w:t>1</w:t>
    </w:r>
    <w:r w:rsidR="004301DD">
      <w:rPr>
        <w:rFonts w:asciiTheme="majorHAnsi" w:hAnsiTheme="majorHAnsi"/>
        <w:noProof/>
      </w:rPr>
      <w:fldChar w:fldCharType="end"/>
    </w:r>
    <w:r w:rsidR="004301DD">
      <w:t xml:space="preserve"> </w:t>
    </w:r>
  </w:p>
  <w:p w14:paraId="725B7FA9" w14:textId="77777777" w:rsidR="004301DD" w:rsidRDefault="004301DD">
    <w:pPr>
      <w:pStyle w:val="Footer"/>
    </w:pPr>
  </w:p>
  <w:p w14:paraId="34ED4889" w14:textId="77777777" w:rsidR="00000000" w:rsidRDefault="00646EF4"/>
  <w:p w14:paraId="1AB41F45" w14:textId="77777777" w:rsidR="00000000" w:rsidRDefault="00646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7CAB" w14:textId="77777777" w:rsidR="0092262A" w:rsidRDefault="0092262A" w:rsidP="00C142DD">
      <w:pPr>
        <w:spacing w:after="0" w:line="240" w:lineRule="auto"/>
      </w:pPr>
      <w:r>
        <w:separator/>
      </w:r>
    </w:p>
    <w:p w14:paraId="39F20525" w14:textId="77777777" w:rsidR="00000000" w:rsidRDefault="00646EF4"/>
    <w:p w14:paraId="20EAB3CC" w14:textId="77777777" w:rsidR="00000000" w:rsidRDefault="00646EF4"/>
  </w:footnote>
  <w:footnote w:type="continuationSeparator" w:id="0">
    <w:p w14:paraId="40E472C7" w14:textId="77777777" w:rsidR="0092262A" w:rsidRDefault="0092262A" w:rsidP="00C142DD">
      <w:pPr>
        <w:spacing w:after="0" w:line="240" w:lineRule="auto"/>
      </w:pPr>
      <w:r>
        <w:continuationSeparator/>
      </w:r>
    </w:p>
    <w:p w14:paraId="3EC796B3" w14:textId="77777777" w:rsidR="00000000" w:rsidRDefault="00646EF4"/>
    <w:p w14:paraId="132935CE" w14:textId="77777777" w:rsidR="00000000" w:rsidRDefault="00646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56"/>
    <w:multiLevelType w:val="hybridMultilevel"/>
    <w:tmpl w:val="8E12B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015E1660"/>
    <w:multiLevelType w:val="hybridMultilevel"/>
    <w:tmpl w:val="3134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70A3"/>
    <w:multiLevelType w:val="hybridMultilevel"/>
    <w:tmpl w:val="F9D0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252A"/>
    <w:multiLevelType w:val="hybridMultilevel"/>
    <w:tmpl w:val="EAFA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41513"/>
    <w:multiLevelType w:val="hybridMultilevel"/>
    <w:tmpl w:val="7C924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13AA4"/>
    <w:multiLevelType w:val="hybridMultilevel"/>
    <w:tmpl w:val="E3CCC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F7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3D0FDE"/>
    <w:multiLevelType w:val="hybridMultilevel"/>
    <w:tmpl w:val="F19A59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EC753E8"/>
    <w:multiLevelType w:val="hybridMultilevel"/>
    <w:tmpl w:val="354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A4579"/>
    <w:multiLevelType w:val="hybridMultilevel"/>
    <w:tmpl w:val="F05A3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CA5C23"/>
    <w:multiLevelType w:val="hybridMultilevel"/>
    <w:tmpl w:val="070CA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110D1"/>
    <w:multiLevelType w:val="hybridMultilevel"/>
    <w:tmpl w:val="8A8A4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116901"/>
    <w:multiLevelType w:val="hybridMultilevel"/>
    <w:tmpl w:val="357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33467"/>
    <w:multiLevelType w:val="hybridMultilevel"/>
    <w:tmpl w:val="AB0A5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7211D4"/>
    <w:multiLevelType w:val="hybridMultilevel"/>
    <w:tmpl w:val="4D1C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72196E"/>
    <w:multiLevelType w:val="hybridMultilevel"/>
    <w:tmpl w:val="84309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8"/>
  </w:num>
  <w:num w:numId="5">
    <w:abstractNumId w:val="3"/>
  </w:num>
  <w:num w:numId="6">
    <w:abstractNumId w:val="11"/>
  </w:num>
  <w:num w:numId="7">
    <w:abstractNumId w:val="14"/>
  </w:num>
  <w:num w:numId="8">
    <w:abstractNumId w:val="15"/>
  </w:num>
  <w:num w:numId="9">
    <w:abstractNumId w:val="1"/>
  </w:num>
  <w:num w:numId="10">
    <w:abstractNumId w:val="6"/>
  </w:num>
  <w:num w:numId="11">
    <w:abstractNumId w:val="9"/>
  </w:num>
  <w:num w:numId="12">
    <w:abstractNumId w:val="13"/>
  </w:num>
  <w:num w:numId="13">
    <w:abstractNumId w:val="4"/>
  </w:num>
  <w:num w:numId="14">
    <w:abstractNumId w:val="7"/>
  </w:num>
  <w:num w:numId="15">
    <w:abstractNumId w:val="0"/>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E3"/>
    <w:rsid w:val="00002909"/>
    <w:rsid w:val="00003FEE"/>
    <w:rsid w:val="00010739"/>
    <w:rsid w:val="00013B3A"/>
    <w:rsid w:val="0001583F"/>
    <w:rsid w:val="00023FEF"/>
    <w:rsid w:val="00024BD4"/>
    <w:rsid w:val="00025E77"/>
    <w:rsid w:val="0003194D"/>
    <w:rsid w:val="0003349C"/>
    <w:rsid w:val="00043ABF"/>
    <w:rsid w:val="000503FE"/>
    <w:rsid w:val="00052E89"/>
    <w:rsid w:val="00054952"/>
    <w:rsid w:val="0006698F"/>
    <w:rsid w:val="00067F5B"/>
    <w:rsid w:val="00072460"/>
    <w:rsid w:val="000759F0"/>
    <w:rsid w:val="0008072C"/>
    <w:rsid w:val="00095979"/>
    <w:rsid w:val="00096285"/>
    <w:rsid w:val="000A2CB2"/>
    <w:rsid w:val="000B3722"/>
    <w:rsid w:val="000B4C88"/>
    <w:rsid w:val="000B622B"/>
    <w:rsid w:val="000B6CC4"/>
    <w:rsid w:val="000B6E07"/>
    <w:rsid w:val="000C3730"/>
    <w:rsid w:val="000C54D3"/>
    <w:rsid w:val="000C58BF"/>
    <w:rsid w:val="000C590F"/>
    <w:rsid w:val="000E260F"/>
    <w:rsid w:val="000E2D9D"/>
    <w:rsid w:val="000F4049"/>
    <w:rsid w:val="000F5BDA"/>
    <w:rsid w:val="000F6B1C"/>
    <w:rsid w:val="000F7758"/>
    <w:rsid w:val="0010163D"/>
    <w:rsid w:val="001054B0"/>
    <w:rsid w:val="00112FE2"/>
    <w:rsid w:val="001155AA"/>
    <w:rsid w:val="00120978"/>
    <w:rsid w:val="00122A3D"/>
    <w:rsid w:val="00126B19"/>
    <w:rsid w:val="001360F7"/>
    <w:rsid w:val="00145D21"/>
    <w:rsid w:val="001512B5"/>
    <w:rsid w:val="00152705"/>
    <w:rsid w:val="00155B21"/>
    <w:rsid w:val="0015788B"/>
    <w:rsid w:val="0015797F"/>
    <w:rsid w:val="00160431"/>
    <w:rsid w:val="00162809"/>
    <w:rsid w:val="0016343A"/>
    <w:rsid w:val="00165298"/>
    <w:rsid w:val="00166546"/>
    <w:rsid w:val="00167C4B"/>
    <w:rsid w:val="00173A52"/>
    <w:rsid w:val="00176179"/>
    <w:rsid w:val="00182207"/>
    <w:rsid w:val="0018308D"/>
    <w:rsid w:val="00185765"/>
    <w:rsid w:val="00191C0D"/>
    <w:rsid w:val="00192261"/>
    <w:rsid w:val="00194601"/>
    <w:rsid w:val="00195761"/>
    <w:rsid w:val="00195A67"/>
    <w:rsid w:val="00195E77"/>
    <w:rsid w:val="001A1AA8"/>
    <w:rsid w:val="001A63B3"/>
    <w:rsid w:val="001A7A91"/>
    <w:rsid w:val="001B0CE6"/>
    <w:rsid w:val="001C07E5"/>
    <w:rsid w:val="001C1FE3"/>
    <w:rsid w:val="001C66E8"/>
    <w:rsid w:val="001C7B38"/>
    <w:rsid w:val="001C7EAD"/>
    <w:rsid w:val="001D1E94"/>
    <w:rsid w:val="001D78C6"/>
    <w:rsid w:val="001F26BE"/>
    <w:rsid w:val="001F4E38"/>
    <w:rsid w:val="00202E7B"/>
    <w:rsid w:val="00203CFA"/>
    <w:rsid w:val="00205883"/>
    <w:rsid w:val="00212092"/>
    <w:rsid w:val="002150B3"/>
    <w:rsid w:val="00222BC4"/>
    <w:rsid w:val="00226B2D"/>
    <w:rsid w:val="00227DE4"/>
    <w:rsid w:val="0023204E"/>
    <w:rsid w:val="0023575E"/>
    <w:rsid w:val="00252A31"/>
    <w:rsid w:val="002721AB"/>
    <w:rsid w:val="002751BD"/>
    <w:rsid w:val="00280821"/>
    <w:rsid w:val="00282A98"/>
    <w:rsid w:val="002869C4"/>
    <w:rsid w:val="00295353"/>
    <w:rsid w:val="002954D2"/>
    <w:rsid w:val="00296F48"/>
    <w:rsid w:val="002A14BE"/>
    <w:rsid w:val="002C42E0"/>
    <w:rsid w:val="002D0A52"/>
    <w:rsid w:val="002D0C13"/>
    <w:rsid w:val="002D41F4"/>
    <w:rsid w:val="002D5460"/>
    <w:rsid w:val="002D66E1"/>
    <w:rsid w:val="002E1E67"/>
    <w:rsid w:val="002E532F"/>
    <w:rsid w:val="002E68FD"/>
    <w:rsid w:val="002F30FD"/>
    <w:rsid w:val="002F6CCB"/>
    <w:rsid w:val="00315819"/>
    <w:rsid w:val="00316266"/>
    <w:rsid w:val="00323F4F"/>
    <w:rsid w:val="003243A7"/>
    <w:rsid w:val="00333DD1"/>
    <w:rsid w:val="00334195"/>
    <w:rsid w:val="003401B9"/>
    <w:rsid w:val="00353156"/>
    <w:rsid w:val="00354F8C"/>
    <w:rsid w:val="00356E3B"/>
    <w:rsid w:val="00360CF1"/>
    <w:rsid w:val="00360D2E"/>
    <w:rsid w:val="003610D8"/>
    <w:rsid w:val="00361411"/>
    <w:rsid w:val="003652E6"/>
    <w:rsid w:val="00365972"/>
    <w:rsid w:val="0038137E"/>
    <w:rsid w:val="00382EC2"/>
    <w:rsid w:val="00383694"/>
    <w:rsid w:val="00385B20"/>
    <w:rsid w:val="0039056B"/>
    <w:rsid w:val="003934E8"/>
    <w:rsid w:val="00395B99"/>
    <w:rsid w:val="00396DA2"/>
    <w:rsid w:val="003A03CD"/>
    <w:rsid w:val="003A11F6"/>
    <w:rsid w:val="003A6B66"/>
    <w:rsid w:val="003A73B0"/>
    <w:rsid w:val="003A7560"/>
    <w:rsid w:val="003A7DB2"/>
    <w:rsid w:val="003B3114"/>
    <w:rsid w:val="003D0400"/>
    <w:rsid w:val="003D0676"/>
    <w:rsid w:val="003D4158"/>
    <w:rsid w:val="003D52F5"/>
    <w:rsid w:val="003D583D"/>
    <w:rsid w:val="003D6D1E"/>
    <w:rsid w:val="003E05FB"/>
    <w:rsid w:val="003E3521"/>
    <w:rsid w:val="003E5C7D"/>
    <w:rsid w:val="004038F3"/>
    <w:rsid w:val="004044BC"/>
    <w:rsid w:val="00415EC4"/>
    <w:rsid w:val="00421CBF"/>
    <w:rsid w:val="00427CE2"/>
    <w:rsid w:val="004301DD"/>
    <w:rsid w:val="004576AE"/>
    <w:rsid w:val="00457E09"/>
    <w:rsid w:val="0046575F"/>
    <w:rsid w:val="00470550"/>
    <w:rsid w:val="004729A0"/>
    <w:rsid w:val="0047385E"/>
    <w:rsid w:val="0047483A"/>
    <w:rsid w:val="004807BE"/>
    <w:rsid w:val="004823C5"/>
    <w:rsid w:val="00486951"/>
    <w:rsid w:val="004904EB"/>
    <w:rsid w:val="00491122"/>
    <w:rsid w:val="004A14DA"/>
    <w:rsid w:val="004A68F0"/>
    <w:rsid w:val="004B6EC2"/>
    <w:rsid w:val="004C381C"/>
    <w:rsid w:val="004D0628"/>
    <w:rsid w:val="004D09D6"/>
    <w:rsid w:val="004D5274"/>
    <w:rsid w:val="004E01D4"/>
    <w:rsid w:val="004F0676"/>
    <w:rsid w:val="004F68F1"/>
    <w:rsid w:val="005003C1"/>
    <w:rsid w:val="00504117"/>
    <w:rsid w:val="00507076"/>
    <w:rsid w:val="00514226"/>
    <w:rsid w:val="00523FB7"/>
    <w:rsid w:val="00524387"/>
    <w:rsid w:val="00531194"/>
    <w:rsid w:val="00541308"/>
    <w:rsid w:val="0054628A"/>
    <w:rsid w:val="00546C6F"/>
    <w:rsid w:val="0056439B"/>
    <w:rsid w:val="00576A93"/>
    <w:rsid w:val="00582DFA"/>
    <w:rsid w:val="005A4B0D"/>
    <w:rsid w:val="005A7A50"/>
    <w:rsid w:val="005B05E4"/>
    <w:rsid w:val="005B1F2A"/>
    <w:rsid w:val="005D0CB0"/>
    <w:rsid w:val="005E4CA7"/>
    <w:rsid w:val="005F3FC7"/>
    <w:rsid w:val="006016BE"/>
    <w:rsid w:val="00601DD5"/>
    <w:rsid w:val="00612E18"/>
    <w:rsid w:val="006136D8"/>
    <w:rsid w:val="00617584"/>
    <w:rsid w:val="0061761C"/>
    <w:rsid w:val="00621165"/>
    <w:rsid w:val="00626CEB"/>
    <w:rsid w:val="00646EF4"/>
    <w:rsid w:val="00655E48"/>
    <w:rsid w:val="00656896"/>
    <w:rsid w:val="00657B56"/>
    <w:rsid w:val="006619BE"/>
    <w:rsid w:val="00661EB2"/>
    <w:rsid w:val="00662BC7"/>
    <w:rsid w:val="0066717D"/>
    <w:rsid w:val="0067319A"/>
    <w:rsid w:val="00674EE4"/>
    <w:rsid w:val="00680226"/>
    <w:rsid w:val="0068531C"/>
    <w:rsid w:val="0069322E"/>
    <w:rsid w:val="0069612D"/>
    <w:rsid w:val="006A3C1D"/>
    <w:rsid w:val="006B2D89"/>
    <w:rsid w:val="006B4638"/>
    <w:rsid w:val="006B4822"/>
    <w:rsid w:val="006B4FA9"/>
    <w:rsid w:val="006C1C3B"/>
    <w:rsid w:val="006C55B0"/>
    <w:rsid w:val="006D4581"/>
    <w:rsid w:val="006D67F2"/>
    <w:rsid w:val="006E11E3"/>
    <w:rsid w:val="006E14DA"/>
    <w:rsid w:val="006F5D5B"/>
    <w:rsid w:val="006F6015"/>
    <w:rsid w:val="006F70B8"/>
    <w:rsid w:val="00703DF9"/>
    <w:rsid w:val="00706108"/>
    <w:rsid w:val="00720C16"/>
    <w:rsid w:val="007210B6"/>
    <w:rsid w:val="007256FE"/>
    <w:rsid w:val="00727B99"/>
    <w:rsid w:val="00727CEE"/>
    <w:rsid w:val="007358A2"/>
    <w:rsid w:val="007404EA"/>
    <w:rsid w:val="0074354B"/>
    <w:rsid w:val="00745E48"/>
    <w:rsid w:val="00746F60"/>
    <w:rsid w:val="007508AC"/>
    <w:rsid w:val="00750DDD"/>
    <w:rsid w:val="007556F6"/>
    <w:rsid w:val="00755F52"/>
    <w:rsid w:val="0076336D"/>
    <w:rsid w:val="00771BD6"/>
    <w:rsid w:val="00786D3E"/>
    <w:rsid w:val="00790F2F"/>
    <w:rsid w:val="00797733"/>
    <w:rsid w:val="007A13AA"/>
    <w:rsid w:val="007A6185"/>
    <w:rsid w:val="007B40E1"/>
    <w:rsid w:val="007B63E5"/>
    <w:rsid w:val="007B7878"/>
    <w:rsid w:val="007D5316"/>
    <w:rsid w:val="007E1715"/>
    <w:rsid w:val="007E1D23"/>
    <w:rsid w:val="007E36A7"/>
    <w:rsid w:val="007E6486"/>
    <w:rsid w:val="007F7B06"/>
    <w:rsid w:val="008003D9"/>
    <w:rsid w:val="00800BA0"/>
    <w:rsid w:val="00807570"/>
    <w:rsid w:val="00814A33"/>
    <w:rsid w:val="00831F4B"/>
    <w:rsid w:val="008327B4"/>
    <w:rsid w:val="008345E3"/>
    <w:rsid w:val="008448E8"/>
    <w:rsid w:val="0084556D"/>
    <w:rsid w:val="00845B9E"/>
    <w:rsid w:val="0084763A"/>
    <w:rsid w:val="0086094A"/>
    <w:rsid w:val="00865207"/>
    <w:rsid w:val="00895196"/>
    <w:rsid w:val="00896B3E"/>
    <w:rsid w:val="008A380D"/>
    <w:rsid w:val="008A65A2"/>
    <w:rsid w:val="008A7627"/>
    <w:rsid w:val="008A7E74"/>
    <w:rsid w:val="008B7393"/>
    <w:rsid w:val="008C311E"/>
    <w:rsid w:val="008C65AF"/>
    <w:rsid w:val="008D07CF"/>
    <w:rsid w:val="008D4A98"/>
    <w:rsid w:val="008E0A60"/>
    <w:rsid w:val="008E4B75"/>
    <w:rsid w:val="008E6828"/>
    <w:rsid w:val="008F5C71"/>
    <w:rsid w:val="008F60C3"/>
    <w:rsid w:val="00902F19"/>
    <w:rsid w:val="00905541"/>
    <w:rsid w:val="0091372C"/>
    <w:rsid w:val="0092262A"/>
    <w:rsid w:val="00922B7D"/>
    <w:rsid w:val="00922C1A"/>
    <w:rsid w:val="009239A8"/>
    <w:rsid w:val="00945E72"/>
    <w:rsid w:val="00946FF5"/>
    <w:rsid w:val="00952DB2"/>
    <w:rsid w:val="00955C51"/>
    <w:rsid w:val="0096334E"/>
    <w:rsid w:val="0096464D"/>
    <w:rsid w:val="00970541"/>
    <w:rsid w:val="009750C8"/>
    <w:rsid w:val="00981A54"/>
    <w:rsid w:val="00982104"/>
    <w:rsid w:val="00983CA4"/>
    <w:rsid w:val="00993DAF"/>
    <w:rsid w:val="00995A08"/>
    <w:rsid w:val="009A26F6"/>
    <w:rsid w:val="009A287A"/>
    <w:rsid w:val="009A483B"/>
    <w:rsid w:val="009B2977"/>
    <w:rsid w:val="009B7CBE"/>
    <w:rsid w:val="009C328B"/>
    <w:rsid w:val="009C515A"/>
    <w:rsid w:val="009D5A22"/>
    <w:rsid w:val="009F5D17"/>
    <w:rsid w:val="00A02C88"/>
    <w:rsid w:val="00A04317"/>
    <w:rsid w:val="00A061D7"/>
    <w:rsid w:val="00A2380D"/>
    <w:rsid w:val="00A26F2E"/>
    <w:rsid w:val="00A31779"/>
    <w:rsid w:val="00A34F90"/>
    <w:rsid w:val="00A43597"/>
    <w:rsid w:val="00A457F3"/>
    <w:rsid w:val="00A46964"/>
    <w:rsid w:val="00A504C0"/>
    <w:rsid w:val="00A5221B"/>
    <w:rsid w:val="00A526A5"/>
    <w:rsid w:val="00A52A44"/>
    <w:rsid w:val="00A645DC"/>
    <w:rsid w:val="00A6655C"/>
    <w:rsid w:val="00A67D30"/>
    <w:rsid w:val="00A75476"/>
    <w:rsid w:val="00A8266D"/>
    <w:rsid w:val="00A83655"/>
    <w:rsid w:val="00A900A8"/>
    <w:rsid w:val="00A91503"/>
    <w:rsid w:val="00A93874"/>
    <w:rsid w:val="00A93A51"/>
    <w:rsid w:val="00A949A1"/>
    <w:rsid w:val="00A97160"/>
    <w:rsid w:val="00AA01F3"/>
    <w:rsid w:val="00AA4C83"/>
    <w:rsid w:val="00AA7B4B"/>
    <w:rsid w:val="00AB6D8E"/>
    <w:rsid w:val="00AC3498"/>
    <w:rsid w:val="00AD4F4E"/>
    <w:rsid w:val="00AE0D8C"/>
    <w:rsid w:val="00AE0FA1"/>
    <w:rsid w:val="00AE24BD"/>
    <w:rsid w:val="00AE25B7"/>
    <w:rsid w:val="00AE2E89"/>
    <w:rsid w:val="00AE4E56"/>
    <w:rsid w:val="00AF0078"/>
    <w:rsid w:val="00AF23DE"/>
    <w:rsid w:val="00AF3A0B"/>
    <w:rsid w:val="00AF664F"/>
    <w:rsid w:val="00B12D1A"/>
    <w:rsid w:val="00B233D6"/>
    <w:rsid w:val="00B23F3E"/>
    <w:rsid w:val="00B247C7"/>
    <w:rsid w:val="00B25A9A"/>
    <w:rsid w:val="00B25B1E"/>
    <w:rsid w:val="00B26DC5"/>
    <w:rsid w:val="00B32D53"/>
    <w:rsid w:val="00B3324B"/>
    <w:rsid w:val="00B371F5"/>
    <w:rsid w:val="00B37AEE"/>
    <w:rsid w:val="00B40EFF"/>
    <w:rsid w:val="00B43D28"/>
    <w:rsid w:val="00B4599E"/>
    <w:rsid w:val="00B507D2"/>
    <w:rsid w:val="00B55192"/>
    <w:rsid w:val="00B64E38"/>
    <w:rsid w:val="00B654DC"/>
    <w:rsid w:val="00B70409"/>
    <w:rsid w:val="00B75556"/>
    <w:rsid w:val="00B76190"/>
    <w:rsid w:val="00B84E18"/>
    <w:rsid w:val="00B85A82"/>
    <w:rsid w:val="00B87CB7"/>
    <w:rsid w:val="00B91BF6"/>
    <w:rsid w:val="00B97816"/>
    <w:rsid w:val="00BA6A05"/>
    <w:rsid w:val="00BA7B89"/>
    <w:rsid w:val="00BB23B0"/>
    <w:rsid w:val="00BB2489"/>
    <w:rsid w:val="00BB61EE"/>
    <w:rsid w:val="00BB731F"/>
    <w:rsid w:val="00BC1FAB"/>
    <w:rsid w:val="00BC28B2"/>
    <w:rsid w:val="00BC6E46"/>
    <w:rsid w:val="00BD2456"/>
    <w:rsid w:val="00BD35B3"/>
    <w:rsid w:val="00BD693B"/>
    <w:rsid w:val="00BE2A08"/>
    <w:rsid w:val="00BE4C2A"/>
    <w:rsid w:val="00BE6795"/>
    <w:rsid w:val="00BF3847"/>
    <w:rsid w:val="00BF71A2"/>
    <w:rsid w:val="00C13912"/>
    <w:rsid w:val="00C142DD"/>
    <w:rsid w:val="00C16A16"/>
    <w:rsid w:val="00C17059"/>
    <w:rsid w:val="00C220EB"/>
    <w:rsid w:val="00C2284D"/>
    <w:rsid w:val="00C32B53"/>
    <w:rsid w:val="00C43DAA"/>
    <w:rsid w:val="00C72C7B"/>
    <w:rsid w:val="00C769C8"/>
    <w:rsid w:val="00C802AD"/>
    <w:rsid w:val="00C84338"/>
    <w:rsid w:val="00C86459"/>
    <w:rsid w:val="00C874E2"/>
    <w:rsid w:val="00CA2D27"/>
    <w:rsid w:val="00CB56F5"/>
    <w:rsid w:val="00CB67EA"/>
    <w:rsid w:val="00CC4E81"/>
    <w:rsid w:val="00CD282F"/>
    <w:rsid w:val="00CD2BD2"/>
    <w:rsid w:val="00CD36BC"/>
    <w:rsid w:val="00CD7614"/>
    <w:rsid w:val="00CF281A"/>
    <w:rsid w:val="00D01108"/>
    <w:rsid w:val="00D021B5"/>
    <w:rsid w:val="00D0363A"/>
    <w:rsid w:val="00D22BCC"/>
    <w:rsid w:val="00D2664F"/>
    <w:rsid w:val="00D301CF"/>
    <w:rsid w:val="00D302B0"/>
    <w:rsid w:val="00D30D6D"/>
    <w:rsid w:val="00D42588"/>
    <w:rsid w:val="00D44E06"/>
    <w:rsid w:val="00D474E6"/>
    <w:rsid w:val="00D52CE1"/>
    <w:rsid w:val="00D52E58"/>
    <w:rsid w:val="00D54349"/>
    <w:rsid w:val="00D6305D"/>
    <w:rsid w:val="00D67A41"/>
    <w:rsid w:val="00D67E62"/>
    <w:rsid w:val="00D7515D"/>
    <w:rsid w:val="00D753E6"/>
    <w:rsid w:val="00D85965"/>
    <w:rsid w:val="00D87AF8"/>
    <w:rsid w:val="00D93492"/>
    <w:rsid w:val="00D9353F"/>
    <w:rsid w:val="00D97109"/>
    <w:rsid w:val="00DA604B"/>
    <w:rsid w:val="00DA798E"/>
    <w:rsid w:val="00DB37A4"/>
    <w:rsid w:val="00DB52DA"/>
    <w:rsid w:val="00DB735D"/>
    <w:rsid w:val="00DC0B43"/>
    <w:rsid w:val="00DC1E68"/>
    <w:rsid w:val="00DC53AF"/>
    <w:rsid w:val="00DC78E8"/>
    <w:rsid w:val="00DD03F7"/>
    <w:rsid w:val="00DD0907"/>
    <w:rsid w:val="00DD23FB"/>
    <w:rsid w:val="00DE260B"/>
    <w:rsid w:val="00DE3E0C"/>
    <w:rsid w:val="00DF3A33"/>
    <w:rsid w:val="00DF51B8"/>
    <w:rsid w:val="00E00105"/>
    <w:rsid w:val="00E00142"/>
    <w:rsid w:val="00E0289D"/>
    <w:rsid w:val="00E04C5A"/>
    <w:rsid w:val="00E10835"/>
    <w:rsid w:val="00E12F20"/>
    <w:rsid w:val="00E1311F"/>
    <w:rsid w:val="00E1318D"/>
    <w:rsid w:val="00E14A5A"/>
    <w:rsid w:val="00E1752E"/>
    <w:rsid w:val="00E20079"/>
    <w:rsid w:val="00E21D03"/>
    <w:rsid w:val="00E31560"/>
    <w:rsid w:val="00E32E2E"/>
    <w:rsid w:val="00E34198"/>
    <w:rsid w:val="00E35327"/>
    <w:rsid w:val="00E3590E"/>
    <w:rsid w:val="00E4196E"/>
    <w:rsid w:val="00E42C82"/>
    <w:rsid w:val="00E50ABB"/>
    <w:rsid w:val="00E517C0"/>
    <w:rsid w:val="00E54E09"/>
    <w:rsid w:val="00E56D89"/>
    <w:rsid w:val="00E60068"/>
    <w:rsid w:val="00E67DA3"/>
    <w:rsid w:val="00E715E0"/>
    <w:rsid w:val="00E80AE9"/>
    <w:rsid w:val="00EC30C1"/>
    <w:rsid w:val="00EC4EEB"/>
    <w:rsid w:val="00EC62F8"/>
    <w:rsid w:val="00EC7E88"/>
    <w:rsid w:val="00F020CD"/>
    <w:rsid w:val="00F05469"/>
    <w:rsid w:val="00F10391"/>
    <w:rsid w:val="00F14D5F"/>
    <w:rsid w:val="00F17DA4"/>
    <w:rsid w:val="00F2147F"/>
    <w:rsid w:val="00F26F6B"/>
    <w:rsid w:val="00F332DB"/>
    <w:rsid w:val="00F34081"/>
    <w:rsid w:val="00F50C38"/>
    <w:rsid w:val="00F569D2"/>
    <w:rsid w:val="00F7217F"/>
    <w:rsid w:val="00F81675"/>
    <w:rsid w:val="00F86658"/>
    <w:rsid w:val="00F973C8"/>
    <w:rsid w:val="00FA17AD"/>
    <w:rsid w:val="00FB30F1"/>
    <w:rsid w:val="00FC0D1D"/>
    <w:rsid w:val="00FC3B31"/>
    <w:rsid w:val="00FC5D37"/>
    <w:rsid w:val="00FD63C5"/>
    <w:rsid w:val="00FE5431"/>
    <w:rsid w:val="00FF3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82B6B"/>
  <w15:docId w15:val="{397ED46F-C6E0-4EC9-BE13-1ABAB98C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1FE3"/>
    <w:pPr>
      <w:keepNext/>
      <w:spacing w:before="240" w:after="60" w:line="240" w:lineRule="auto"/>
      <w:outlineLvl w:val="0"/>
    </w:pPr>
    <w:rPr>
      <w:rFonts w:ascii="Arial" w:eastAsia="Times New Roman" w:hAnsi="Arial" w:cs="Arial"/>
      <w:b/>
      <w:bCs/>
      <w:kern w:val="32"/>
      <w:sz w:val="32"/>
      <w:szCs w:val="32"/>
      <w:lang w:val="en-CA"/>
    </w:rPr>
  </w:style>
  <w:style w:type="paragraph" w:styleId="Heading2">
    <w:name w:val="heading 2"/>
    <w:basedOn w:val="Normal"/>
    <w:next w:val="Normal"/>
    <w:link w:val="Heading2Char"/>
    <w:unhideWhenUsed/>
    <w:qFormat/>
    <w:rsid w:val="001C1FE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qFormat/>
    <w:rsid w:val="00F973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C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E3"/>
    <w:rPr>
      <w:rFonts w:ascii="Tahoma" w:hAnsi="Tahoma" w:cs="Tahoma"/>
      <w:sz w:val="16"/>
      <w:szCs w:val="16"/>
    </w:rPr>
  </w:style>
  <w:style w:type="table" w:styleId="TableGrid">
    <w:name w:val="Table Grid"/>
    <w:basedOn w:val="TableNormal"/>
    <w:rsid w:val="001C1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C1FE3"/>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1C1FE3"/>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1C1FE3"/>
    <w:pPr>
      <w:spacing w:after="0" w:line="240" w:lineRule="auto"/>
      <w:ind w:left="720"/>
      <w:contextualSpacing/>
    </w:pPr>
    <w:rPr>
      <w:rFonts w:ascii="Times New Roman" w:eastAsia="Times New Roman" w:hAnsi="Times New Roman" w:cs="Times New Roman"/>
      <w:sz w:val="24"/>
      <w:szCs w:val="24"/>
      <w:lang w:val="en-CA"/>
    </w:rPr>
  </w:style>
  <w:style w:type="character" w:styleId="Strong">
    <w:name w:val="Strong"/>
    <w:basedOn w:val="DefaultParagraphFont"/>
    <w:qFormat/>
    <w:rsid w:val="001C1FE3"/>
    <w:rPr>
      <w:b/>
      <w:bCs/>
    </w:rPr>
  </w:style>
  <w:style w:type="paragraph" w:styleId="NormalWeb">
    <w:name w:val="Normal (Web)"/>
    <w:basedOn w:val="Normal"/>
    <w:unhideWhenUsed/>
    <w:rsid w:val="001C1FE3"/>
    <w:pPr>
      <w:spacing w:before="100" w:beforeAutospacing="1" w:after="100" w:afterAutospacing="1" w:line="240" w:lineRule="auto"/>
    </w:pPr>
    <w:rPr>
      <w:rFonts w:ascii="Verdana" w:eastAsia="Times New Roman" w:hAnsi="Verdana" w:cs="Times New Roman"/>
      <w:sz w:val="24"/>
      <w:szCs w:val="24"/>
    </w:rPr>
  </w:style>
  <w:style w:type="paragraph" w:styleId="Header">
    <w:name w:val="header"/>
    <w:basedOn w:val="Normal"/>
    <w:link w:val="HeaderChar"/>
    <w:unhideWhenUsed/>
    <w:rsid w:val="00C1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DD"/>
  </w:style>
  <w:style w:type="paragraph" w:styleId="Footer">
    <w:name w:val="footer"/>
    <w:basedOn w:val="Normal"/>
    <w:link w:val="FooterChar"/>
    <w:uiPriority w:val="99"/>
    <w:unhideWhenUsed/>
    <w:rsid w:val="00C1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DD"/>
  </w:style>
  <w:style w:type="character" w:customStyle="1" w:styleId="Heading3Char">
    <w:name w:val="Heading 3 Char"/>
    <w:basedOn w:val="DefaultParagraphFont"/>
    <w:link w:val="Heading3"/>
    <w:rsid w:val="00F973C8"/>
    <w:rPr>
      <w:rFonts w:ascii="Arial" w:eastAsia="Times New Roman" w:hAnsi="Arial" w:cs="Arial"/>
      <w:b/>
      <w:bCs/>
      <w:sz w:val="26"/>
      <w:szCs w:val="26"/>
    </w:rPr>
  </w:style>
  <w:style w:type="character" w:styleId="Hyperlink">
    <w:name w:val="Hyperlink"/>
    <w:basedOn w:val="DefaultParagraphFont"/>
    <w:rsid w:val="00F973C8"/>
    <w:rPr>
      <w:color w:val="0000FF"/>
      <w:u w:val="single"/>
    </w:rPr>
  </w:style>
  <w:style w:type="character" w:styleId="FollowedHyperlink">
    <w:name w:val="FollowedHyperlink"/>
    <w:basedOn w:val="DefaultParagraphFont"/>
    <w:rsid w:val="00F973C8"/>
    <w:rPr>
      <w:color w:val="800080"/>
      <w:u w:val="single"/>
    </w:rPr>
  </w:style>
  <w:style w:type="paragraph" w:styleId="TOC1">
    <w:name w:val="toc 1"/>
    <w:basedOn w:val="Normal"/>
    <w:next w:val="Normal"/>
    <w:autoRedefine/>
    <w:semiHidden/>
    <w:rsid w:val="00F973C8"/>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973C8"/>
  </w:style>
  <w:style w:type="paragraph" w:styleId="TOC2">
    <w:name w:val="toc 2"/>
    <w:basedOn w:val="Normal"/>
    <w:next w:val="Normal"/>
    <w:autoRedefine/>
    <w:semiHidden/>
    <w:rsid w:val="00F973C8"/>
    <w:pPr>
      <w:tabs>
        <w:tab w:val="left" w:pos="720"/>
        <w:tab w:val="right" w:leader="dot" w:pos="863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F973C8"/>
    <w:rPr>
      <w:sz w:val="16"/>
      <w:szCs w:val="16"/>
    </w:rPr>
  </w:style>
  <w:style w:type="paragraph" w:styleId="CommentText">
    <w:name w:val="annotation text"/>
    <w:basedOn w:val="Normal"/>
    <w:link w:val="CommentTextChar"/>
    <w:semiHidden/>
    <w:rsid w:val="00F973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9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73C8"/>
    <w:rPr>
      <w:b/>
      <w:bCs/>
    </w:rPr>
  </w:style>
  <w:style w:type="character" w:customStyle="1" w:styleId="CommentSubjectChar">
    <w:name w:val="Comment Subject Char"/>
    <w:basedOn w:val="CommentTextChar"/>
    <w:link w:val="CommentSubject"/>
    <w:semiHidden/>
    <w:rsid w:val="00F973C8"/>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973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73C8"/>
    <w:rPr>
      <w:rFonts w:ascii="Times New Roman" w:eastAsia="Times New Roman" w:hAnsi="Times New Roman" w:cs="Times New Roman"/>
      <w:sz w:val="20"/>
      <w:szCs w:val="20"/>
    </w:rPr>
  </w:style>
  <w:style w:type="character" w:styleId="FootnoteReference">
    <w:name w:val="footnote reference"/>
    <w:basedOn w:val="DefaultParagraphFont"/>
    <w:semiHidden/>
    <w:rsid w:val="00F973C8"/>
    <w:rPr>
      <w:vertAlign w:val="superscript"/>
    </w:rPr>
  </w:style>
  <w:style w:type="paragraph" w:customStyle="1" w:styleId="subhead">
    <w:name w:val="subhead"/>
    <w:basedOn w:val="Normal"/>
    <w:rsid w:val="00F973C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rsid w:val="00F973C8"/>
  </w:style>
  <w:style w:type="paragraph" w:customStyle="1" w:styleId="Level1">
    <w:name w:val="Level 1"/>
    <w:rsid w:val="003E5C7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3Char1">
    <w:name w:val="Heading 3 Char1"/>
    <w:aliases w:val="Heading 3 Char Char"/>
    <w:basedOn w:val="DefaultParagraphFont"/>
    <w:rsid w:val="003E5C7D"/>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arc.gc.ca/tx/tchncl/ncmtx/fls/s1/f2/s1-f2-c3-e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ce0b957c9ebc99071507b0af0899210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bf88e9bcfebd2e601261c2da4f6f2e0d"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CBAD-EC83-4B55-8D31-BFD4F5576EAD}">
  <ds:schemaRefs>
    <ds:schemaRef ds:uri="http://schemas.microsoft.com/office/2006/documentManagement/types"/>
    <ds:schemaRef ds:uri="http://purl.org/dc/elements/1.1/"/>
    <ds:schemaRef ds:uri="4830ea6b-39db-40e8-94a4-4d7183afcea8"/>
    <ds:schemaRef ds:uri="3a707f03-e06c-4c61-a929-6f249483c146"/>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86FEC0-319A-49B5-B56E-CACDEC6BF60C}">
  <ds:schemaRefs>
    <ds:schemaRef ds:uri="http://schemas.microsoft.com/sharepoint/v3/contenttype/forms"/>
  </ds:schemaRefs>
</ds:datastoreItem>
</file>

<file path=customXml/itemProps3.xml><?xml version="1.0" encoding="utf-8"?>
<ds:datastoreItem xmlns:ds="http://schemas.openxmlformats.org/officeDocument/2006/customXml" ds:itemID="{36DEA364-8AE9-4C42-A869-59327960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36521-A440-49FA-B527-EBD9CF7E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Veronica Bacher</cp:lastModifiedBy>
  <cp:revision>2</cp:revision>
  <cp:lastPrinted>2016-02-02T16:27:00Z</cp:lastPrinted>
  <dcterms:created xsi:type="dcterms:W3CDTF">2021-07-08T11:36:00Z</dcterms:created>
  <dcterms:modified xsi:type="dcterms:W3CDTF">2021-07-08T11:36:00Z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